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200660</wp:posOffset>
            </wp:positionH>
            <wp:positionV relativeFrom="page">
              <wp:posOffset>272415</wp:posOffset>
            </wp:positionV>
            <wp:extent cx="714756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7560" cy="3810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318135</wp:posOffset>
            </wp:positionV>
            <wp:extent cx="714756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7560" cy="1524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10" w:lineRule="exact"/>
        <w:rPr>
          <w:sz w:val="24"/>
          <w:szCs w:val="24"/>
          <w:color w:val="auto"/>
        </w:rPr>
      </w:pPr>
    </w:p>
    <w:p>
      <w:pPr>
        <w:jc w:val="center"/>
        <w:ind w:left="3980" w:right="1960" w:hanging="2039"/>
        <w:spacing w:after="0" w:line="478" w:lineRule="auto"/>
        <w:tabs>
          <w:tab w:leader="none" w:pos="211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QUARTERLY REPORT UNDER SECTION 13 OR 15(d) OF THE SECURITIES EXCHANGE ACT OF 1934 For the quarterly period ended September 30, 2024</w:t>
      </w:r>
    </w:p>
    <w:p>
      <w:pPr>
        <w:spacing w:after="0" w:line="36" w:lineRule="exact"/>
        <w:rPr>
          <w:rFonts w:ascii="MS PGothic" w:cs="MS PGothic" w:eastAsia="MS PGothic" w:hAnsi="MS PGothic"/>
          <w:sz w:val="16"/>
          <w:szCs w:val="16"/>
          <w:color w:val="auto"/>
        </w:rPr>
      </w:pPr>
    </w:p>
    <w:p>
      <w:pPr>
        <w:ind w:left="2580" w:hanging="172"/>
        <w:spacing w:after="0"/>
        <w:tabs>
          <w:tab w:leader="none" w:pos="258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UNDER SECTION 13 OR 15(d) OF THE EXCHANGE ACT OF 1934</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3580" w:type="dxa"/>
            <w:vAlign w:val="bottom"/>
          </w:tcPr>
          <w:p>
            <w:pPr>
              <w:spacing w:after="0"/>
              <w:rPr>
                <w:sz w:val="18"/>
                <w:szCs w:val="18"/>
                <w:color w:val="auto"/>
              </w:rPr>
            </w:pPr>
          </w:p>
        </w:tc>
        <w:tc>
          <w:tcPr>
            <w:tcW w:w="7680" w:type="dxa"/>
            <w:vAlign w:val="bottom"/>
            <w:gridSpan w:val="3"/>
          </w:tcPr>
          <w:p>
            <w:pPr>
              <w:jc w:val="center"/>
              <w:ind w:right="3520"/>
              <w:spacing w:after="0"/>
              <w:rPr>
                <w:sz w:val="20"/>
                <w:szCs w:val="20"/>
                <w:color w:val="auto"/>
              </w:rPr>
            </w:pPr>
            <w:r>
              <w:rPr>
                <w:rFonts w:ascii="Times New Roman" w:cs="Times New Roman" w:eastAsia="Times New Roman" w:hAnsi="Times New Roman"/>
                <w:sz w:val="16"/>
                <w:szCs w:val="16"/>
                <w:color w:val="auto"/>
              </w:rPr>
              <w:t>For the transition period from _______ to _______</w:t>
            </w:r>
          </w:p>
        </w:tc>
      </w:tr>
      <w:tr>
        <w:trPr>
          <w:trHeight w:val="385"/>
        </w:trPr>
        <w:tc>
          <w:tcPr>
            <w:tcW w:w="3580" w:type="dxa"/>
            <w:vAlign w:val="bottom"/>
          </w:tcPr>
          <w:p>
            <w:pPr>
              <w:spacing w:after="0"/>
              <w:rPr>
                <w:sz w:val="24"/>
                <w:szCs w:val="24"/>
                <w:color w:val="auto"/>
              </w:rPr>
            </w:pPr>
          </w:p>
        </w:tc>
        <w:tc>
          <w:tcPr>
            <w:tcW w:w="7680" w:type="dxa"/>
            <w:vAlign w:val="bottom"/>
            <w:gridSpan w:val="3"/>
          </w:tcPr>
          <w:p>
            <w:pPr>
              <w:jc w:val="center"/>
              <w:ind w:right="3500"/>
              <w:spacing w:after="0"/>
              <w:rPr>
                <w:sz w:val="20"/>
                <w:szCs w:val="20"/>
                <w:color w:val="auto"/>
              </w:rPr>
            </w:pPr>
            <w:r>
              <w:rPr>
                <w:rFonts w:ascii="Times New Roman" w:cs="Times New Roman" w:eastAsia="Times New Roman" w:hAnsi="Times New Roman"/>
                <w:sz w:val="16"/>
                <w:szCs w:val="16"/>
                <w:color w:val="auto"/>
              </w:rPr>
              <w:t>Commission file number: 001-32501</w:t>
            </w:r>
          </w:p>
        </w:tc>
      </w:tr>
      <w:tr>
        <w:trPr>
          <w:trHeight w:val="501"/>
        </w:trPr>
        <w:tc>
          <w:tcPr>
            <w:tcW w:w="3580" w:type="dxa"/>
            <w:vAlign w:val="bottom"/>
          </w:tcPr>
          <w:p>
            <w:pPr>
              <w:spacing w:after="0"/>
              <w:rPr>
                <w:sz w:val="24"/>
                <w:szCs w:val="24"/>
                <w:color w:val="auto"/>
              </w:rPr>
            </w:pPr>
          </w:p>
        </w:tc>
        <w:tc>
          <w:tcPr>
            <w:tcW w:w="7680" w:type="dxa"/>
            <w:vAlign w:val="bottom"/>
            <w:gridSpan w:val="3"/>
          </w:tcPr>
          <w:p>
            <w:pPr>
              <w:jc w:val="center"/>
              <w:ind w:right="3520"/>
              <w:spacing w:after="0"/>
              <w:rPr>
                <w:sz w:val="20"/>
                <w:szCs w:val="20"/>
                <w:color w:val="auto"/>
              </w:rPr>
            </w:pPr>
            <w:r>
              <w:rPr>
                <w:rFonts w:ascii="Times New Roman" w:cs="Times New Roman" w:eastAsia="Times New Roman" w:hAnsi="Times New Roman"/>
                <w:sz w:val="29"/>
                <w:szCs w:val="29"/>
                <w:b w:val="1"/>
                <w:bCs w:val="1"/>
                <w:color w:val="auto"/>
                <w:w w:val="99"/>
              </w:rPr>
              <w:t>REED’S, INC.</w:t>
            </w:r>
          </w:p>
        </w:tc>
      </w:tr>
      <w:tr>
        <w:trPr>
          <w:trHeight w:val="209"/>
        </w:trPr>
        <w:tc>
          <w:tcPr>
            <w:tcW w:w="3580" w:type="dxa"/>
            <w:vAlign w:val="bottom"/>
          </w:tcPr>
          <w:p>
            <w:pPr>
              <w:spacing w:after="0"/>
              <w:rPr>
                <w:sz w:val="18"/>
                <w:szCs w:val="18"/>
                <w:color w:val="auto"/>
              </w:rPr>
            </w:pPr>
          </w:p>
        </w:tc>
        <w:tc>
          <w:tcPr>
            <w:tcW w:w="7680" w:type="dxa"/>
            <w:vAlign w:val="bottom"/>
            <w:gridSpan w:val="3"/>
          </w:tcPr>
          <w:p>
            <w:pPr>
              <w:jc w:val="center"/>
              <w:ind w:right="35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385"/>
        </w:trPr>
        <w:tc>
          <w:tcPr>
            <w:tcW w:w="3580" w:type="dxa"/>
            <w:vAlign w:val="bottom"/>
          </w:tcPr>
          <w:p>
            <w:pPr>
              <w:jc w:val="center"/>
              <w:ind w:left="1840"/>
              <w:spacing w:after="0"/>
              <w:rPr>
                <w:sz w:val="20"/>
                <w:szCs w:val="20"/>
                <w:color w:val="auto"/>
              </w:rPr>
            </w:pPr>
            <w:r>
              <w:rPr>
                <w:rFonts w:ascii="Times New Roman" w:cs="Times New Roman" w:eastAsia="Times New Roman" w:hAnsi="Times New Roman"/>
                <w:sz w:val="16"/>
                <w:szCs w:val="16"/>
                <w:color w:val="auto"/>
              </w:rPr>
              <w:t>Delaware</w:t>
            </w:r>
          </w:p>
        </w:tc>
        <w:tc>
          <w:tcPr>
            <w:tcW w:w="7680" w:type="dxa"/>
            <w:vAlign w:val="bottom"/>
            <w:gridSpan w:val="3"/>
          </w:tcPr>
          <w:p>
            <w:pPr>
              <w:jc w:val="center"/>
              <w:ind w:left="2073"/>
              <w:spacing w:after="0"/>
              <w:rPr>
                <w:sz w:val="20"/>
                <w:szCs w:val="20"/>
                <w:color w:val="auto"/>
              </w:rPr>
            </w:pPr>
            <w:r>
              <w:rPr>
                <w:rFonts w:ascii="Times New Roman" w:cs="Times New Roman" w:eastAsia="Times New Roman" w:hAnsi="Times New Roman"/>
                <w:sz w:val="16"/>
                <w:szCs w:val="16"/>
                <w:color w:val="auto"/>
                <w:w w:val="98"/>
              </w:rPr>
              <w:t>35-2177773</w:t>
            </w:r>
          </w:p>
        </w:tc>
      </w:tr>
      <w:tr>
        <w:trPr>
          <w:trHeight w:val="168"/>
        </w:trPr>
        <w:tc>
          <w:tcPr>
            <w:tcW w:w="3580" w:type="dxa"/>
            <w:vAlign w:val="bottom"/>
            <w:tcBorders>
              <w:top w:val="single" w:sz="8" w:color="auto"/>
            </w:tcBorders>
          </w:tcPr>
          <w:p>
            <w:pPr>
              <w:jc w:val="center"/>
              <w:ind w:left="1840"/>
              <w:spacing w:after="0" w:line="168" w:lineRule="exact"/>
              <w:rPr>
                <w:sz w:val="20"/>
                <w:szCs w:val="20"/>
                <w:color w:val="auto"/>
              </w:rPr>
            </w:pPr>
            <w:r>
              <w:rPr>
                <w:rFonts w:ascii="Times New Roman" w:cs="Times New Roman" w:eastAsia="Times New Roman" w:hAnsi="Times New Roman"/>
                <w:sz w:val="16"/>
                <w:szCs w:val="16"/>
                <w:color w:val="auto"/>
                <w:w w:val="98"/>
              </w:rPr>
              <w:t>(State of</w:t>
            </w:r>
          </w:p>
        </w:tc>
        <w:tc>
          <w:tcPr>
            <w:tcW w:w="1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52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(I.R.S. Employer</w:t>
            </w:r>
          </w:p>
        </w:tc>
      </w:tr>
      <w:tr>
        <w:trPr>
          <w:trHeight w:val="209"/>
        </w:trPr>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6"/>
                <w:szCs w:val="16"/>
                <w:color w:val="auto"/>
              </w:rPr>
              <w:t>incorporation)</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68"/>
        </w:trPr>
        <w:tc>
          <w:tcPr>
            <w:tcW w:w="3580" w:type="dxa"/>
            <w:vAlign w:val="bottom"/>
          </w:tcPr>
          <w:p>
            <w:pPr>
              <w:spacing w:after="0"/>
              <w:rPr>
                <w:sz w:val="24"/>
                <w:szCs w:val="24"/>
                <w:color w:val="auto"/>
              </w:rPr>
            </w:pPr>
          </w:p>
        </w:tc>
        <w:tc>
          <w:tcPr>
            <w:tcW w:w="7680" w:type="dxa"/>
            <w:vAlign w:val="bottom"/>
            <w:gridSpan w:val="3"/>
          </w:tcPr>
          <w:p>
            <w:pPr>
              <w:jc w:val="center"/>
              <w:ind w:right="3500"/>
              <w:spacing w:after="0"/>
              <w:rPr>
                <w:sz w:val="20"/>
                <w:szCs w:val="20"/>
                <w:color w:val="auto"/>
              </w:rPr>
            </w:pPr>
            <w:r>
              <w:rPr>
                <w:rFonts w:ascii="Times New Roman" w:cs="Times New Roman" w:eastAsia="Times New Roman" w:hAnsi="Times New Roman"/>
                <w:sz w:val="16"/>
                <w:szCs w:val="16"/>
                <w:color w:val="auto"/>
              </w:rPr>
              <w:t>201 Merritt 7, Norwalk, CT. 06851</w:t>
            </w:r>
          </w:p>
        </w:tc>
      </w:tr>
      <w:tr>
        <w:trPr>
          <w:trHeight w:val="209"/>
        </w:trPr>
        <w:tc>
          <w:tcPr>
            <w:tcW w:w="3580" w:type="dxa"/>
            <w:vAlign w:val="bottom"/>
          </w:tcPr>
          <w:p>
            <w:pPr>
              <w:spacing w:after="0"/>
              <w:rPr>
                <w:sz w:val="18"/>
                <w:szCs w:val="18"/>
                <w:color w:val="auto"/>
              </w:rPr>
            </w:pPr>
          </w:p>
        </w:tc>
        <w:tc>
          <w:tcPr>
            <w:tcW w:w="7680" w:type="dxa"/>
            <w:vAlign w:val="bottom"/>
            <w:gridSpan w:val="3"/>
          </w:tcPr>
          <w:p>
            <w:pPr>
              <w:jc w:val="center"/>
              <w:ind w:right="3520"/>
              <w:spacing w:after="0"/>
              <w:rPr>
                <w:sz w:val="20"/>
                <w:szCs w:val="20"/>
                <w:color w:val="auto"/>
              </w:rPr>
            </w:pPr>
            <w:r>
              <w:rPr>
                <w:rFonts w:ascii="Times New Roman" w:cs="Times New Roman" w:eastAsia="Times New Roman" w:hAnsi="Times New Roman"/>
                <w:sz w:val="16"/>
                <w:szCs w:val="16"/>
                <w:color w:val="auto"/>
                <w:w w:val="99"/>
              </w:rPr>
              <w:t>(Address of principal executive offices) (Zip Code)</w:t>
            </w:r>
          </w:p>
        </w:tc>
      </w:tr>
      <w:tr>
        <w:trPr>
          <w:trHeight w:val="368"/>
        </w:trPr>
        <w:tc>
          <w:tcPr>
            <w:tcW w:w="3580" w:type="dxa"/>
            <w:vAlign w:val="bottom"/>
          </w:tcPr>
          <w:p>
            <w:pPr>
              <w:spacing w:after="0"/>
              <w:rPr>
                <w:sz w:val="24"/>
                <w:szCs w:val="24"/>
                <w:color w:val="auto"/>
              </w:rPr>
            </w:pPr>
          </w:p>
        </w:tc>
        <w:tc>
          <w:tcPr>
            <w:tcW w:w="7680" w:type="dxa"/>
            <w:vAlign w:val="bottom"/>
            <w:gridSpan w:val="3"/>
          </w:tcPr>
          <w:p>
            <w:pPr>
              <w:jc w:val="center"/>
              <w:ind w:right="3520"/>
              <w:spacing w:after="0"/>
              <w:rPr>
                <w:sz w:val="20"/>
                <w:szCs w:val="20"/>
                <w:color w:val="auto"/>
              </w:rPr>
            </w:pPr>
            <w:r>
              <w:rPr>
                <w:rFonts w:ascii="Times New Roman" w:cs="Times New Roman" w:eastAsia="Times New Roman" w:hAnsi="Times New Roman"/>
                <w:sz w:val="16"/>
                <w:szCs w:val="16"/>
                <w:color w:val="auto"/>
                <w:w w:val="99"/>
              </w:rPr>
              <w:t>(800) 997-3337</w:t>
            </w:r>
          </w:p>
        </w:tc>
      </w:tr>
      <w:tr>
        <w:trPr>
          <w:trHeight w:val="209"/>
        </w:trPr>
        <w:tc>
          <w:tcPr>
            <w:tcW w:w="3580" w:type="dxa"/>
            <w:vAlign w:val="bottom"/>
          </w:tcPr>
          <w:p>
            <w:pPr>
              <w:spacing w:after="0"/>
              <w:rPr>
                <w:sz w:val="18"/>
                <w:szCs w:val="18"/>
                <w:color w:val="auto"/>
              </w:rPr>
            </w:pPr>
          </w:p>
        </w:tc>
        <w:tc>
          <w:tcPr>
            <w:tcW w:w="7680" w:type="dxa"/>
            <w:vAlign w:val="bottom"/>
            <w:gridSpan w:val="3"/>
          </w:tcPr>
          <w:p>
            <w:pPr>
              <w:jc w:val="center"/>
              <w:ind w:right="3520"/>
              <w:spacing w:after="0"/>
              <w:rPr>
                <w:sz w:val="20"/>
                <w:szCs w:val="20"/>
                <w:color w:val="auto"/>
              </w:rPr>
            </w:pPr>
            <w:r>
              <w:rPr>
                <w:rFonts w:ascii="Times New Roman" w:cs="Times New Roman" w:eastAsia="Times New Roman" w:hAnsi="Times New Roman"/>
                <w:sz w:val="16"/>
                <w:szCs w:val="16"/>
                <w:color w:val="auto"/>
                <w:w w:val="99"/>
              </w:rPr>
              <w:t>(Registrant’s telephone number, including area code)</w:t>
            </w:r>
          </w:p>
        </w:tc>
      </w:tr>
    </w:tbl>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 None</w:t>
      </w:r>
    </w:p>
    <w:p>
      <w:pPr>
        <w:spacing w:after="0" w:line="211" w:lineRule="exact"/>
        <w:rPr>
          <w:sz w:val="24"/>
          <w:szCs w:val="24"/>
          <w:color w:val="auto"/>
        </w:rPr>
      </w:pPr>
    </w:p>
    <w:p>
      <w:pPr>
        <w:ind w:left="1500"/>
        <w:spacing w:after="0"/>
        <w:tabs>
          <w:tab w:leader="none" w:pos="5060" w:val="left"/>
          <w:tab w:leader="none" w:pos="7580" w:val="left"/>
        </w:tabs>
        <w:rPr>
          <w:sz w:val="20"/>
          <w:szCs w:val="20"/>
          <w:color w:val="auto"/>
        </w:rPr>
      </w:pPr>
      <w:r>
        <w:rPr>
          <w:rFonts w:ascii="Times New Roman" w:cs="Times New Roman" w:eastAsia="Times New Roman" w:hAnsi="Times New Roman"/>
          <w:sz w:val="16"/>
          <w:szCs w:val="16"/>
          <w:b w:val="1"/>
          <w:bCs w:val="1"/>
          <w:color w:val="auto"/>
        </w:rPr>
        <w:t>Title of Each Class</w:t>
      </w:r>
      <w:r>
        <w:rPr>
          <w:sz w:val="20"/>
          <w:szCs w:val="20"/>
          <w:color w:val="auto"/>
        </w:rPr>
        <w:tab/>
      </w:r>
      <w:r>
        <w:rPr>
          <w:rFonts w:ascii="Times New Roman" w:cs="Times New Roman" w:eastAsia="Times New Roman" w:hAnsi="Times New Roman"/>
          <w:sz w:val="16"/>
          <w:szCs w:val="16"/>
          <w:b w:val="1"/>
          <w:bCs w:val="1"/>
          <w:color w:val="auto"/>
        </w:rPr>
        <w:t>Trading Symbol</w:t>
      </w:r>
      <w:r>
        <w:rPr>
          <w:sz w:val="20"/>
          <w:szCs w:val="20"/>
          <w:color w:val="auto"/>
        </w:rPr>
        <w:tab/>
      </w:r>
      <w:r>
        <w:rPr>
          <w:rFonts w:ascii="Times New Roman" w:cs="Times New Roman" w:eastAsia="Times New Roman" w:hAnsi="Times New Roman"/>
          <w:sz w:val="15"/>
          <w:szCs w:val="15"/>
          <w:b w:val="1"/>
          <w:bCs w:val="1"/>
          <w:color w:val="auto"/>
        </w:rPr>
        <w:t>Names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475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pacing w:after="0" w:line="387" w:lineRule="exact"/>
        <w:rPr>
          <w:sz w:val="24"/>
          <w:szCs w:val="24"/>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 There were a total of 4,187,291 shares of Common Stock outstanding as of May 10, 2024.</w:t>
      </w:r>
    </w:p>
    <w:p>
      <w:pPr>
        <w:spacing w:after="0" w:line="143" w:lineRule="exact"/>
        <w:rPr>
          <w:sz w:val="24"/>
          <w:szCs w:val="24"/>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7"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1" w:lineRule="exact"/>
        <w:rPr>
          <w:sz w:val="24"/>
          <w:szCs w:val="24"/>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60"/>
          </w:cols>
          <w:pgMar w:left="320" w:top="674" w:right="319" w:bottom="1440" w:gutter="0" w:footer="0" w:header="0"/>
        </w:sectPr>
      </w:pPr>
    </w:p>
    <w:p>
      <w:pPr>
        <w:spacing w:after="0" w:line="107" w:lineRule="exact"/>
        <w:rPr>
          <w:sz w:val="24"/>
          <w:szCs w:val="24"/>
          <w:color w:val="auto"/>
        </w:rPr>
      </w:pPr>
    </w:p>
    <w:p>
      <w:pPr>
        <w:ind w:right="1200"/>
        <w:spacing w:after="0" w:line="232"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Smaller Reporting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62"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760"/>
        <w:spacing w:after="0" w:line="173"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p>
    <w:p>
      <w:pPr>
        <w:spacing w:after="0" w:line="440" w:lineRule="exact"/>
        <w:rPr>
          <w:sz w:val="24"/>
          <w:szCs w:val="24"/>
          <w:color w:val="auto"/>
        </w:rPr>
      </w:pPr>
    </w:p>
    <w:p>
      <w:pPr>
        <w:sectPr>
          <w:pgSz w:w="11900" w:h="16838" w:orient="portrait"/>
          <w:cols w:equalWidth="0" w:num="3">
            <w:col w:w="3220" w:space="720"/>
            <w:col w:w="3220" w:space="720"/>
            <w:col w:w="3380"/>
          </w:cols>
          <w:pgMar w:left="320" w:top="674" w:right="319" w:bottom="1440" w:gutter="0" w:footer="0" w:header="0"/>
          <w:type w:val="continuous"/>
        </w:sect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issuer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are 8,187,291 shares outstanding as of November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14756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75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168275</wp:posOffset>
            </wp:positionV>
            <wp:extent cx="714756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7560"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450850</wp:posOffset>
            </wp:positionV>
            <wp:extent cx="71475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74"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gridSpan w:val="7"/>
          </w:tcPr>
          <w:p>
            <w:pPr>
              <w:jc w:val="center"/>
              <w:ind w:right="3100"/>
              <w:spacing w:after="0"/>
              <w:rPr>
                <w:sz w:val="20"/>
                <w:szCs w:val="20"/>
                <w:color w:val="auto"/>
              </w:rPr>
            </w:pPr>
            <w:r>
              <w:rPr>
                <w:rFonts w:ascii="Times New Roman" w:cs="Times New Roman" w:eastAsia="Times New Roman" w:hAnsi="Times New Roman"/>
                <w:sz w:val="16"/>
                <w:szCs w:val="16"/>
                <w:b w:val="1"/>
                <w:bCs w:val="1"/>
                <w:color w:val="auto"/>
                <w:w w:val="99"/>
              </w:rPr>
              <w:t>TABLE OF CONTENTS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940" w:type="dxa"/>
            <w:vAlign w:val="bottom"/>
            <w:gridSpan w:val="19"/>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PART I - FINANCIAL INFORMATION</w:t>
            </w:r>
          </w:p>
        </w:tc>
        <w:tc>
          <w:tcPr>
            <w:tcW w:w="1300" w:type="dxa"/>
            <w:vAlign w:val="bottom"/>
            <w:shd w:val="clear" w:color="auto" w:fill="CCEEFF"/>
          </w:tcPr>
          <w:p>
            <w:pPr>
              <w:ind w:left="900"/>
              <w:spacing w:after="0" w:line="156"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7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940" w:type="dxa"/>
            <w:vAlign w:val="bottom"/>
            <w:gridSpan w:val="19"/>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Item 1. Condensed Financial Statements</w:t>
            </w:r>
          </w:p>
        </w:tc>
        <w:tc>
          <w:tcPr>
            <w:tcW w:w="1300" w:type="dxa"/>
            <w:vAlign w:val="bottom"/>
            <w:shd w:val="clear" w:color="auto" w:fill="CCEEFF"/>
          </w:tcPr>
          <w:p>
            <w:pPr>
              <w:ind w:left="900"/>
              <w:spacing w:after="0" w:line="156"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7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940" w:type="dxa"/>
            <w:vAlign w:val="bottom"/>
            <w:gridSpan w:val="19"/>
            <w:shd w:val="clear" w:color="auto" w:fill="CCEEFF"/>
          </w:tcPr>
          <w:p>
            <w:pPr>
              <w:ind w:left="140"/>
              <w:spacing w:after="0" w:line="156" w:lineRule="exact"/>
              <w:rPr>
                <w:sz w:val="20"/>
                <w:szCs w:val="20"/>
                <w:color w:val="auto"/>
              </w:rPr>
            </w:pPr>
            <w:r>
              <w:rPr>
                <w:rFonts w:ascii="Times New Roman" w:cs="Times New Roman" w:eastAsia="Times New Roman" w:hAnsi="Times New Roman"/>
                <w:sz w:val="16"/>
                <w:szCs w:val="16"/>
                <w:color w:val="0000EE"/>
              </w:rPr>
              <w:t>Condensed Balance Sheets - September 30, 2024 (Unaudited) and December 31, 2023</w:t>
            </w:r>
          </w:p>
        </w:tc>
        <w:tc>
          <w:tcPr>
            <w:tcW w:w="1300" w:type="dxa"/>
            <w:vAlign w:val="bottom"/>
            <w:shd w:val="clear" w:color="auto" w:fill="CCEEFF"/>
          </w:tcPr>
          <w:p>
            <w:pPr>
              <w:ind w:left="900"/>
              <w:spacing w:after="0" w:line="156"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7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300" w:type="dxa"/>
            <w:vAlign w:val="bottom"/>
            <w:tcBorders>
              <w:top w:val="single" w:sz="8" w:color="0000EE"/>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940" w:type="dxa"/>
            <w:vAlign w:val="bottom"/>
            <w:gridSpan w:val="19"/>
            <w:shd w:val="clear" w:color="auto" w:fill="CCEEFF"/>
          </w:tcPr>
          <w:p>
            <w:pPr>
              <w:ind w:left="140"/>
              <w:spacing w:after="0" w:line="156" w:lineRule="exact"/>
              <w:rPr>
                <w:sz w:val="20"/>
                <w:szCs w:val="20"/>
                <w:color w:val="auto"/>
              </w:rPr>
            </w:pPr>
            <w:r>
              <w:rPr>
                <w:rFonts w:ascii="Times New Roman" w:cs="Times New Roman" w:eastAsia="Times New Roman" w:hAnsi="Times New Roman"/>
                <w:sz w:val="16"/>
                <w:szCs w:val="16"/>
                <w:color w:val="0000EE"/>
              </w:rPr>
              <w:t>Condensed Statements of Operations for the three and nine months ended September 30, 2024 and 2023 (Unaudited)</w:t>
            </w:r>
          </w:p>
        </w:tc>
        <w:tc>
          <w:tcPr>
            <w:tcW w:w="1300" w:type="dxa"/>
            <w:vAlign w:val="bottom"/>
            <w:shd w:val="clear" w:color="auto" w:fill="CCEEFF"/>
          </w:tcPr>
          <w:p>
            <w:pPr>
              <w:ind w:left="900"/>
              <w:spacing w:after="0" w:line="156" w:lineRule="exact"/>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7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30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940" w:type="dxa"/>
            <w:vAlign w:val="bottom"/>
            <w:gridSpan w:val="19"/>
            <w:shd w:val="clear" w:color="auto" w:fill="CCEEFF"/>
          </w:tcPr>
          <w:p>
            <w:pPr>
              <w:ind w:left="140"/>
              <w:spacing w:after="0" w:line="156" w:lineRule="exact"/>
              <w:rPr>
                <w:sz w:val="20"/>
                <w:szCs w:val="20"/>
                <w:color w:val="auto"/>
              </w:rPr>
            </w:pPr>
            <w:r>
              <w:rPr>
                <w:rFonts w:ascii="Times New Roman" w:cs="Times New Roman" w:eastAsia="Times New Roman" w:hAnsi="Times New Roman"/>
                <w:sz w:val="16"/>
                <w:szCs w:val="16"/>
                <w:color w:val="0000EE"/>
              </w:rPr>
              <w:t>Condensed Statements of Changes in Stockholders’ Deficit for the three and nine months ended September 30, 2024 and 2023 (Unaudited)</w:t>
            </w:r>
          </w:p>
        </w:tc>
        <w:tc>
          <w:tcPr>
            <w:tcW w:w="1300" w:type="dxa"/>
            <w:vAlign w:val="bottom"/>
            <w:shd w:val="clear" w:color="auto" w:fill="CCEEFF"/>
          </w:tcPr>
          <w:p>
            <w:pPr>
              <w:ind w:left="900"/>
              <w:spacing w:after="0" w:line="156" w:lineRule="exact"/>
              <w:rPr>
                <w:sz w:val="20"/>
                <w:szCs w:val="20"/>
                <w:color w:val="auto"/>
              </w:rPr>
            </w:pPr>
            <w:r>
              <w:rPr>
                <w:rFonts w:ascii="Times New Roman" w:cs="Times New Roman" w:eastAsia="Times New Roman" w:hAnsi="Times New Roman"/>
                <w:sz w:val="16"/>
                <w:szCs w:val="16"/>
                <w:color w:val="auto"/>
              </w:rPr>
              <w:t>F-3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7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30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940" w:type="dxa"/>
            <w:vAlign w:val="bottom"/>
            <w:gridSpan w:val="19"/>
            <w:shd w:val="clear" w:color="auto" w:fill="CCEEFF"/>
          </w:tcPr>
          <w:p>
            <w:pPr>
              <w:ind w:left="140"/>
              <w:spacing w:after="0" w:line="156" w:lineRule="exact"/>
              <w:rPr>
                <w:sz w:val="20"/>
                <w:szCs w:val="20"/>
                <w:color w:val="auto"/>
              </w:rPr>
            </w:pPr>
            <w:r>
              <w:rPr>
                <w:rFonts w:ascii="Times New Roman" w:cs="Times New Roman" w:eastAsia="Times New Roman" w:hAnsi="Times New Roman"/>
                <w:sz w:val="16"/>
                <w:szCs w:val="16"/>
                <w:color w:val="0000EE"/>
              </w:rPr>
              <w:t>Condensed Statements of Cash Flows for the nine months ended September 30, 2024 and 2023 (Unaudited)</w:t>
            </w:r>
          </w:p>
        </w:tc>
        <w:tc>
          <w:tcPr>
            <w:tcW w:w="1300" w:type="dxa"/>
            <w:vAlign w:val="bottom"/>
            <w:shd w:val="clear" w:color="auto" w:fill="CCEEFF"/>
          </w:tcPr>
          <w:p>
            <w:pPr>
              <w:ind w:left="900"/>
              <w:spacing w:after="0" w:line="156" w:lineRule="exact"/>
              <w:rPr>
                <w:sz w:val="20"/>
                <w:szCs w:val="20"/>
                <w:color w:val="auto"/>
              </w:rPr>
            </w:pPr>
            <w:r>
              <w:rPr>
                <w:rFonts w:ascii="Times New Roman" w:cs="Times New Roman" w:eastAsia="Times New Roman" w:hAnsi="Times New Roman"/>
                <w:sz w:val="16"/>
                <w:szCs w:val="16"/>
                <w:color w:val="auto"/>
              </w:rPr>
              <w:t>F-4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7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30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940" w:type="dxa"/>
            <w:vAlign w:val="bottom"/>
            <w:gridSpan w:val="19"/>
            <w:shd w:val="clear" w:color="auto" w:fill="CCEEFF"/>
          </w:tcPr>
          <w:p>
            <w:pPr>
              <w:ind w:left="140"/>
              <w:spacing w:after="0" w:line="156" w:lineRule="exact"/>
              <w:rPr>
                <w:sz w:val="20"/>
                <w:szCs w:val="20"/>
                <w:color w:val="auto"/>
              </w:rPr>
            </w:pPr>
            <w:r>
              <w:rPr>
                <w:rFonts w:ascii="Times New Roman" w:cs="Times New Roman" w:eastAsia="Times New Roman" w:hAnsi="Times New Roman"/>
                <w:sz w:val="16"/>
                <w:szCs w:val="16"/>
                <w:color w:val="0000EE"/>
              </w:rPr>
              <w:t>Notes to Condensed Financial Statements three and nine months ended September 30, 2024 and 2023 (Unaudited)</w:t>
            </w:r>
          </w:p>
        </w:tc>
        <w:tc>
          <w:tcPr>
            <w:tcW w:w="1300" w:type="dxa"/>
            <w:vAlign w:val="bottom"/>
            <w:shd w:val="clear" w:color="auto" w:fill="CCEEFF"/>
          </w:tcPr>
          <w:p>
            <w:pPr>
              <w:ind w:left="900"/>
              <w:spacing w:after="0" w:line="156" w:lineRule="exact"/>
              <w:rPr>
                <w:sz w:val="20"/>
                <w:szCs w:val="20"/>
                <w:color w:val="auto"/>
              </w:rPr>
            </w:pPr>
            <w:r>
              <w:rPr>
                <w:rFonts w:ascii="Times New Roman" w:cs="Times New Roman" w:eastAsia="Times New Roman" w:hAnsi="Times New Roman"/>
                <w:sz w:val="16"/>
                <w:szCs w:val="16"/>
                <w:color w:val="auto"/>
              </w:rPr>
              <w:t>F-5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7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30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940" w:type="dxa"/>
            <w:vAlign w:val="bottom"/>
            <w:gridSpan w:val="19"/>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Item 2. Management’s Discussion and Analysis of Financial Condition and Results of Operations</w:t>
            </w:r>
          </w:p>
        </w:tc>
        <w:tc>
          <w:tcPr>
            <w:tcW w:w="1300" w:type="dxa"/>
            <w:vAlign w:val="bottom"/>
            <w:shd w:val="clear" w:color="auto" w:fill="CCEEFF"/>
          </w:tcPr>
          <w:p>
            <w:pPr>
              <w:jc w:val="center"/>
              <w:ind w:left="620"/>
              <w:spacing w:after="0" w:line="156"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7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30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940" w:type="dxa"/>
            <w:vAlign w:val="bottom"/>
            <w:gridSpan w:val="19"/>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Item 3. Quantitative and Qualitative Disclosures About Market Risk</w:t>
            </w:r>
          </w:p>
        </w:tc>
        <w:tc>
          <w:tcPr>
            <w:tcW w:w="1300" w:type="dxa"/>
            <w:vAlign w:val="bottom"/>
            <w:shd w:val="clear" w:color="auto" w:fill="CCEEFF"/>
          </w:tcPr>
          <w:p>
            <w:pPr>
              <w:jc w:val="center"/>
              <w:ind w:left="620"/>
              <w:spacing w:after="0" w:line="156" w:lineRule="exact"/>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7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940" w:type="dxa"/>
            <w:vAlign w:val="bottom"/>
            <w:gridSpan w:val="19"/>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Item 4. Controls and Procedures</w:t>
            </w:r>
          </w:p>
        </w:tc>
        <w:tc>
          <w:tcPr>
            <w:tcW w:w="1300" w:type="dxa"/>
            <w:vAlign w:val="bottom"/>
            <w:shd w:val="clear" w:color="auto" w:fill="CCEEFF"/>
          </w:tcPr>
          <w:p>
            <w:pPr>
              <w:jc w:val="center"/>
              <w:ind w:left="620"/>
              <w:spacing w:after="0" w:line="156" w:lineRule="exact"/>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7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940" w:type="dxa"/>
            <w:vAlign w:val="bottom"/>
            <w:gridSpan w:val="19"/>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PART II – OTHER INFORMATION</w:t>
            </w:r>
          </w:p>
        </w:tc>
        <w:tc>
          <w:tcPr>
            <w:tcW w:w="1300" w:type="dxa"/>
            <w:vAlign w:val="bottom"/>
            <w:shd w:val="clear" w:color="auto" w:fill="CCEEFF"/>
          </w:tcPr>
          <w:p>
            <w:pPr>
              <w:jc w:val="center"/>
              <w:ind w:left="620"/>
              <w:spacing w:after="0" w:line="156" w:lineRule="exact"/>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7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940" w:type="dxa"/>
            <w:vAlign w:val="bottom"/>
            <w:gridSpan w:val="19"/>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Item 1. Legal Proceedings</w:t>
            </w:r>
          </w:p>
        </w:tc>
        <w:tc>
          <w:tcPr>
            <w:tcW w:w="1300" w:type="dxa"/>
            <w:vAlign w:val="bottom"/>
            <w:shd w:val="clear" w:color="auto" w:fill="CCEEFF"/>
          </w:tcPr>
          <w:p>
            <w:pPr>
              <w:jc w:val="center"/>
              <w:ind w:left="620"/>
              <w:spacing w:after="0" w:line="156" w:lineRule="exact"/>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7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940" w:type="dxa"/>
            <w:vAlign w:val="bottom"/>
            <w:gridSpan w:val="19"/>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Item 1A. Risk Factors</w:t>
            </w:r>
          </w:p>
        </w:tc>
        <w:tc>
          <w:tcPr>
            <w:tcW w:w="1300" w:type="dxa"/>
            <w:vAlign w:val="bottom"/>
            <w:shd w:val="clear" w:color="auto" w:fill="CCEEFF"/>
          </w:tcPr>
          <w:p>
            <w:pPr>
              <w:jc w:val="center"/>
              <w:ind w:left="620"/>
              <w:spacing w:after="0" w:line="156" w:lineRule="exact"/>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7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940" w:type="dxa"/>
            <w:vAlign w:val="bottom"/>
            <w:gridSpan w:val="19"/>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Item 2. Unregistered Sales of Equity Securities and Use of Proceeds</w:t>
            </w:r>
          </w:p>
        </w:tc>
        <w:tc>
          <w:tcPr>
            <w:tcW w:w="1300" w:type="dxa"/>
            <w:vAlign w:val="bottom"/>
            <w:shd w:val="clear" w:color="auto" w:fill="CCEEFF"/>
          </w:tcPr>
          <w:p>
            <w:pPr>
              <w:jc w:val="center"/>
              <w:ind w:left="620"/>
              <w:spacing w:after="0" w:line="156" w:lineRule="exact"/>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740" w:type="dxa"/>
            <w:vAlign w:val="bottom"/>
            <w:tcBorders>
              <w:top w:val="single" w:sz="8" w:color="0000EE"/>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940" w:type="dxa"/>
            <w:vAlign w:val="bottom"/>
            <w:gridSpan w:val="19"/>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Item 3. Defaults Upon Senior Securities</w:t>
            </w:r>
          </w:p>
        </w:tc>
        <w:tc>
          <w:tcPr>
            <w:tcW w:w="1300" w:type="dxa"/>
            <w:vAlign w:val="bottom"/>
            <w:shd w:val="clear" w:color="auto" w:fill="CCEEFF"/>
          </w:tcPr>
          <w:p>
            <w:pPr>
              <w:jc w:val="center"/>
              <w:ind w:left="620"/>
              <w:spacing w:after="0" w:line="156" w:lineRule="exact"/>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7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940" w:type="dxa"/>
            <w:vAlign w:val="bottom"/>
            <w:gridSpan w:val="19"/>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Item 4. Mine Safety Disclosures</w:t>
            </w:r>
          </w:p>
        </w:tc>
        <w:tc>
          <w:tcPr>
            <w:tcW w:w="1300" w:type="dxa"/>
            <w:vAlign w:val="bottom"/>
            <w:shd w:val="clear" w:color="auto" w:fill="CCEEFF"/>
          </w:tcPr>
          <w:p>
            <w:pPr>
              <w:jc w:val="center"/>
              <w:ind w:left="620"/>
              <w:spacing w:after="0" w:line="156" w:lineRule="exact"/>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7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940" w:type="dxa"/>
            <w:vAlign w:val="bottom"/>
            <w:gridSpan w:val="19"/>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Item 5. Other Information</w:t>
            </w:r>
          </w:p>
        </w:tc>
        <w:tc>
          <w:tcPr>
            <w:tcW w:w="1300" w:type="dxa"/>
            <w:vAlign w:val="bottom"/>
            <w:shd w:val="clear" w:color="auto" w:fill="CCEEFF"/>
          </w:tcPr>
          <w:p>
            <w:pPr>
              <w:jc w:val="center"/>
              <w:ind w:left="620"/>
              <w:spacing w:after="0" w:line="156" w:lineRule="exact"/>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7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940" w:type="dxa"/>
            <w:vAlign w:val="bottom"/>
            <w:gridSpan w:val="19"/>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Item 6. Exhibits</w:t>
            </w:r>
          </w:p>
        </w:tc>
        <w:tc>
          <w:tcPr>
            <w:tcW w:w="1300" w:type="dxa"/>
            <w:vAlign w:val="bottom"/>
            <w:shd w:val="clear" w:color="auto" w:fill="CCEEFF"/>
          </w:tcPr>
          <w:p>
            <w:pPr>
              <w:jc w:val="center"/>
              <w:ind w:left="620"/>
              <w:spacing w:after="0" w:line="156" w:lineRule="exact"/>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7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580" w:type="dxa"/>
            <w:vAlign w:val="bottom"/>
            <w:tcBorders>
              <w:top w:val="single" w:sz="8" w:color="CCEEFF"/>
              <w:bottom w:val="single" w:sz="8" w:color="auto"/>
            </w:tcBorders>
            <w:gridSpan w:val="7"/>
          </w:tcPr>
          <w:p>
            <w:pPr>
              <w:jc w:val="center"/>
              <w:ind w:right="3100"/>
              <w:spacing w:after="0"/>
              <w:rPr>
                <w:sz w:val="20"/>
                <w:szCs w:val="20"/>
                <w:color w:val="auto"/>
              </w:rPr>
            </w:pPr>
            <w:r>
              <w:rPr>
                <w:rFonts w:ascii="Times New Roman" w:cs="Times New Roman" w:eastAsia="Times New Roman" w:hAnsi="Times New Roman"/>
                <w:sz w:val="16"/>
                <w:szCs w:val="16"/>
                <w:color w:val="auto"/>
                <w:w w:val="88"/>
              </w:rPr>
              <w:t>i</w:t>
            </w:r>
          </w:p>
        </w:tc>
        <w:tc>
          <w:tcPr>
            <w:tcW w:w="13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26" w:right="3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 AND INFORMATION</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i w:val="1"/>
          <w:iCs w:val="1"/>
          <w:color w:val="auto"/>
        </w:rPr>
        <w:t>This report contains statements reflecting our views about our future performance that constitute “forward-looking statements” within the meaning of the Private Securities Litigation Reform Act of 1995 (Reform Act). Statements that constitute forward-looking statements within the meaning of the Reform Act are generally identified through the inclusion of words such as “aim,” “anticipate,” “believe,” “drive,” “estimate,” “expect,” “expressed confidence,”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These risks and uncertainties include, but are not limited to, those described in “Part I, Item 1A. Risk Factors” of our Annual Report on Form 10-K for the fiscal year ended December 31, 2023 (“2023 Form 10-K”) as updated by “Part II, Item 1A” of this report should be considered when evaluating our trends and future results. Investors are cautioned not to place undue reliance on any such forward-looking statements, which speak only as of the date they are made. We undertake no obligation to update any forward-looking statement, whether as a result of new information, future events or otherwise. The discussion of risks in this report is by no means all-inclusive but is designed to highlight what we believe are important factors to consider when evaluating our future performance.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1"/>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900" w:type="dxa"/>
            <w:vAlign w:val="bottom"/>
          </w:tcPr>
          <w:p>
            <w:pPr>
              <w:jc w:val="center"/>
              <w:ind w:left="4220"/>
              <w:spacing w:after="0"/>
              <w:rPr>
                <w:sz w:val="20"/>
                <w:szCs w:val="20"/>
                <w:color w:val="auto"/>
              </w:rPr>
            </w:pPr>
            <w:r>
              <w:rPr>
                <w:rFonts w:ascii="Times New Roman" w:cs="Times New Roman" w:eastAsia="Times New Roman" w:hAnsi="Times New Roman"/>
                <w:sz w:val="16"/>
                <w:szCs w:val="16"/>
                <w:b w:val="1"/>
                <w:bCs w:val="1"/>
                <w:color w:val="auto"/>
                <w:w w:val="99"/>
              </w:rPr>
              <w:t>REED’S, INC.</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00" w:type="dxa"/>
            <w:vAlign w:val="bottom"/>
          </w:tcPr>
          <w:p>
            <w:pPr>
              <w:jc w:val="center"/>
              <w:ind w:left="4240"/>
              <w:spacing w:after="0"/>
              <w:rPr>
                <w:sz w:val="20"/>
                <w:szCs w:val="20"/>
                <w:color w:val="auto"/>
              </w:rPr>
            </w:pPr>
            <w:r>
              <w:rPr>
                <w:rFonts w:ascii="Times New Roman" w:cs="Times New Roman" w:eastAsia="Times New Roman" w:hAnsi="Times New Roman"/>
                <w:sz w:val="16"/>
                <w:szCs w:val="16"/>
                <w:b w:val="1"/>
                <w:bCs w:val="1"/>
                <w:color w:val="auto"/>
              </w:rPr>
              <w:t>CONDENSED BALANCE SHEETS</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20" w:type="dxa"/>
            <w:vAlign w:val="bottom"/>
            <w:gridSpan w:val="3"/>
          </w:tcPr>
          <w:p>
            <w:pPr>
              <w:jc w:val="center"/>
              <w:ind w:left="3800"/>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24"/>
                <w:szCs w:val="24"/>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rPr>
              <w:t>(Unaudited)</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306</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 of allowance of $577 and $860, respectively</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2,770</w:t>
            </w:r>
          </w:p>
        </w:tc>
        <w:tc>
          <w:tcPr>
            <w:tcW w:w="280" w:type="dxa"/>
            <w:vAlign w:val="bottom"/>
          </w:tcPr>
          <w:p>
            <w:pPr>
              <w:spacing w:after="0"/>
              <w:rPr>
                <w:sz w:val="16"/>
                <w:szCs w:val="16"/>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9,251</w:t>
            </w:r>
          </w:p>
        </w:tc>
        <w:tc>
          <w:tcPr>
            <w:tcW w:w="2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Receivable from former related party</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259</w:t>
            </w:r>
          </w:p>
        </w:tc>
        <w:tc>
          <w:tcPr>
            <w:tcW w:w="280" w:type="dxa"/>
            <w:vAlign w:val="bottom"/>
          </w:tcPr>
          <w:p>
            <w:pPr>
              <w:spacing w:after="0"/>
              <w:rPr>
                <w:sz w:val="16"/>
                <w:szCs w:val="16"/>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1,476</w:t>
            </w:r>
          </w:p>
        </w:tc>
        <w:tc>
          <w:tcPr>
            <w:tcW w:w="2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2,028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Total current assets</w:t>
            </w:r>
          </w:p>
        </w:tc>
        <w:tc>
          <w:tcPr>
            <w:tcW w:w="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14,062</w:t>
            </w:r>
          </w:p>
        </w:tc>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$1,277 and $1,068, respectively</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335</w:t>
            </w:r>
          </w:p>
        </w:tc>
        <w:tc>
          <w:tcPr>
            <w:tcW w:w="280" w:type="dxa"/>
            <w:vAlign w:val="bottom"/>
          </w:tcPr>
          <w:p>
            <w:pPr>
              <w:spacing w:after="0"/>
              <w:rPr>
                <w:sz w:val="16"/>
                <w:szCs w:val="16"/>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636</w:t>
            </w:r>
          </w:p>
        </w:tc>
        <w:tc>
          <w:tcPr>
            <w:tcW w:w="2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15,033</w:t>
            </w:r>
          </w:p>
        </w:tc>
        <w:tc>
          <w:tcPr>
            <w:tcW w:w="34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18,883</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6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8,313</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1,274</w:t>
            </w:r>
          </w:p>
        </w:tc>
        <w:tc>
          <w:tcPr>
            <w:tcW w:w="2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Revolving line of credit, net of capitalized financing costs of $81 and $201, respectively</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5,390</w:t>
            </w:r>
          </w:p>
        </w:tc>
        <w:tc>
          <w:tcPr>
            <w:tcW w:w="280" w:type="dxa"/>
            <w:vAlign w:val="bottom"/>
          </w:tcPr>
          <w:p>
            <w:pPr>
              <w:spacing w:after="0"/>
              <w:rPr>
                <w:sz w:val="16"/>
                <w:szCs w:val="16"/>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 to former related party</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211</w:t>
            </w:r>
          </w:p>
        </w:tc>
        <w:tc>
          <w:tcPr>
            <w:tcW w:w="2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convertible notes payable, net of debt discount of $459 and $572, respectively</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21,751</w:t>
            </w:r>
          </w:p>
        </w:tc>
        <w:tc>
          <w:tcPr>
            <w:tcW w:w="280" w:type="dxa"/>
            <w:vAlign w:val="bottom"/>
          </w:tcPr>
          <w:p>
            <w:pPr>
              <w:spacing w:after="0"/>
              <w:rPr>
                <w:sz w:val="16"/>
                <w:szCs w:val="16"/>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6,737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lease liabilities</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Total current liabilities</w:t>
            </w:r>
          </w:p>
        </w:tc>
        <w:tc>
          <w:tcPr>
            <w:tcW w:w="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36,986</w:t>
            </w:r>
          </w:p>
        </w:tc>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 payable, net of debt discount of $0 and $148, respectively, less current portion</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10,874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36,986</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Series A Convertible Preferred stock, $10 par value, 500,000 shares authorized, 9,411 shares issued and</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Common stock, $.0001 par value, 180,000,000 shares authorized; 8,187,291 and 4,187,291 shares issued</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outstanding, respectively</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125,719</w:t>
            </w:r>
          </w:p>
        </w:tc>
        <w:tc>
          <w:tcPr>
            <w:tcW w:w="280" w:type="dxa"/>
            <w:vAlign w:val="bottom"/>
          </w:tcPr>
          <w:p>
            <w:pPr>
              <w:spacing w:after="0"/>
              <w:rPr>
                <w:sz w:val="16"/>
                <w:szCs w:val="16"/>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119,452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(147,767)</w:t>
            </w:r>
          </w:p>
        </w:tc>
        <w:tc>
          <w:tcPr>
            <w:tcW w:w="2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(138,727)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6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(21,953</w:t>
            </w:r>
          </w:p>
        </w:tc>
        <w:tc>
          <w:tcPr>
            <w:tcW w:w="340" w:type="dxa"/>
            <w:vAlign w:val="bottom"/>
            <w:tcBorders>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(19,181</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15,033</w:t>
            </w: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18,883</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financial statements.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REED’S,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STATEMENTS OF OPERATIONS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2024 and 2023</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6"/>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62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6,752</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11,856</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28,221</w:t>
            </w: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5,537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19,762</w:t>
            </w:r>
          </w:p>
        </w:tc>
        <w:tc>
          <w:tcPr>
            <w:tcW w:w="3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23,778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8,459</w:t>
            </w:r>
          </w:p>
        </w:tc>
        <w:tc>
          <w:tcPr>
            <w:tcW w:w="3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4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Delivery and handling expense</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1,279</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4,204</w:t>
            </w:r>
          </w:p>
        </w:tc>
        <w:tc>
          <w:tcPr>
            <w:tcW w:w="3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and marketing expense</w:t>
            </w: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1,283</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861</w:t>
            </w:r>
          </w:p>
        </w:tc>
        <w:tc>
          <w:tcPr>
            <w:tcW w:w="2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3,473</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3,567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1,791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5,239</w:t>
            </w:r>
          </w:p>
        </w:tc>
        <w:tc>
          <w:tcPr>
            <w:tcW w:w="3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4,427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4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12,916</w:t>
            </w:r>
          </w:p>
        </w:tc>
        <w:tc>
          <w:tcPr>
            <w:tcW w:w="3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4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(3,138)</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(143)</w:t>
            </w:r>
          </w:p>
        </w:tc>
        <w:tc>
          <w:tcPr>
            <w:tcW w:w="2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(4,457)</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(4,468)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(2,405)</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(1,293)</w:t>
            </w:r>
          </w:p>
        </w:tc>
        <w:tc>
          <w:tcPr>
            <w:tcW w:w="2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(4,578)</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(4,459)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SAFE investments</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1,393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47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(4,150)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(1,436)</w:t>
            </w:r>
          </w:p>
        </w:tc>
        <w:tc>
          <w:tcPr>
            <w:tcW w:w="28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(9,035)</w:t>
            </w:r>
          </w:p>
        </w:tc>
        <w:tc>
          <w:tcPr>
            <w:tcW w:w="3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(8,927)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Dividends on Series A Convertible Preferred Stock</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47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Common Stockholders</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(4,150)</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(1,436)</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(9,040)</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(8,932)</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7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per share – basic and diluted</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(0.82)</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(0.34)</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(2.02)</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7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shares outstanding – basic and diluted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5,066,412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4,169,131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4,483,587</w:t>
            </w: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3,322,959</w:t>
            </w: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8340" w:type="dxa"/>
            <w:vAlign w:val="bottom"/>
            <w:gridSpan w:val="9"/>
          </w:tcPr>
          <w:p>
            <w:pPr>
              <w:jc w:val="right"/>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financial statements.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F-2</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02" w:right="31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REED’S,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STATEMENTS OF CHANGES IN STOCKHOLDERS’ DEFICIT</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2024 and 2023</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3980" w:type="dxa"/>
            <w:vAlign w:val="bottom"/>
          </w:tcPr>
          <w:p>
            <w:pPr>
              <w:spacing w:after="0"/>
              <w:rPr>
                <w:sz w:val="18"/>
                <w:szCs w:val="18"/>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2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36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197"/>
        </w:trPr>
        <w:tc>
          <w:tcPr>
            <w:tcW w:w="398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Deficit</w:t>
            </w:r>
          </w:p>
        </w:tc>
      </w:tr>
      <w:tr>
        <w:trPr>
          <w:trHeight w:val="184"/>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June 30, 2024</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4,187,291</w:t>
            </w:r>
          </w:p>
        </w:tc>
        <w:tc>
          <w:tcPr>
            <w:tcW w:w="3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9,411</w:t>
            </w:r>
          </w:p>
        </w:tc>
        <w:tc>
          <w:tcPr>
            <w:tcW w:w="3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119,674</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(143,617)</w:t>
            </w:r>
          </w:p>
        </w:tc>
        <w:tc>
          <w:tcPr>
            <w:tcW w:w="3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(23,849)</w:t>
            </w:r>
          </w:p>
        </w:tc>
        <w:tc>
          <w:tcPr>
            <w:tcW w:w="120" w:type="dxa"/>
            <w:vAlign w:val="bottom"/>
            <w:tcBorders>
              <w:top w:val="single" w:sz="8" w:color="CCEEFF"/>
            </w:tcBorders>
            <w:gridSpan w:val="2"/>
            <w:shd w:val="clear" w:color="auto" w:fill="CCEEFF"/>
          </w:tcPr>
          <w:p>
            <w:pPr>
              <w:spacing w:after="0"/>
              <w:rPr>
                <w:sz w:val="16"/>
                <w:szCs w:val="16"/>
                <w:color w:val="auto"/>
              </w:rPr>
            </w:pPr>
          </w:p>
        </w:tc>
      </w:tr>
      <w:tr>
        <w:trPr>
          <w:trHeight w:val="192"/>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vested options</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6"/>
                <w:szCs w:val="16"/>
                <w:color w:val="auto"/>
              </w:rPr>
            </w:pPr>
          </w:p>
        </w:tc>
      </w:tr>
      <w:tr>
        <w:trPr>
          <w:trHeight w:val="19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 issued for cash</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1,268,795</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100" w:type="dxa"/>
            <w:vAlign w:val="bottom"/>
            <w:shd w:val="clear" w:color="auto" w:fill="CCEEFF"/>
          </w:tcPr>
          <w:p>
            <w:pPr>
              <w:spacing w:after="0"/>
              <w:rPr>
                <w:sz w:val="16"/>
                <w:szCs w:val="16"/>
                <w:color w:val="auto"/>
              </w:rPr>
            </w:pPr>
          </w:p>
        </w:tc>
      </w:tr>
      <w:tr>
        <w:trPr>
          <w:trHeight w:val="176"/>
        </w:trPr>
        <w:tc>
          <w:tcPr>
            <w:tcW w:w="39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Common shares issued upon conversion of SAFE</w:t>
            </w: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agreement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2,731,205</w:t>
            </w:r>
          </w:p>
        </w:tc>
        <w:tc>
          <w:tcPr>
            <w:tcW w:w="46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4,097</w:t>
            </w:r>
          </w:p>
        </w:tc>
        <w:tc>
          <w:tcPr>
            <w:tcW w:w="100" w:type="dxa"/>
            <w:vAlign w:val="bottom"/>
          </w:tcPr>
          <w:p>
            <w:pPr>
              <w:spacing w:after="0"/>
              <w:rPr>
                <w:sz w:val="18"/>
                <w:szCs w:val="18"/>
                <w:color w:val="auto"/>
              </w:rPr>
            </w:pPr>
          </w:p>
        </w:tc>
      </w:tr>
      <w:tr>
        <w:trPr>
          <w:trHeight w:val="205"/>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(4,150)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(4,150)</w:t>
            </w:r>
          </w:p>
        </w:tc>
      </w:tr>
      <w:tr>
        <w:trPr>
          <w:trHeight w:val="19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2024</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8,187,291</w:t>
            </w:r>
          </w:p>
        </w:tc>
        <w:tc>
          <w:tcPr>
            <w:tcW w:w="300" w:type="dxa"/>
            <w:vAlign w:val="bottom"/>
          </w:tcPr>
          <w:p>
            <w:pPr>
              <w:spacing w:after="0"/>
              <w:rPr>
                <w:sz w:val="17"/>
                <w:szCs w:val="17"/>
                <w:color w:val="auto"/>
              </w:rPr>
            </w:pPr>
          </w:p>
        </w:tc>
        <w:tc>
          <w:tcPr>
            <w:tcW w:w="46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9,411</w:t>
            </w:r>
          </w:p>
        </w:tc>
        <w:tc>
          <w:tcPr>
            <w:tcW w:w="300" w:type="dxa"/>
            <w:vAlign w:val="bottom"/>
          </w:tcPr>
          <w:p>
            <w:pPr>
              <w:spacing w:after="0"/>
              <w:rPr>
                <w:sz w:val="17"/>
                <w:szCs w:val="17"/>
                <w:color w:val="auto"/>
              </w:rPr>
            </w:pPr>
          </w:p>
        </w:tc>
        <w:tc>
          <w:tcPr>
            <w:tcW w:w="44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125,719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(147,767</w:t>
            </w:r>
          </w:p>
        </w:tc>
        <w:tc>
          <w:tcPr>
            <w:tcW w:w="300" w:type="dxa"/>
            <w:vAlign w:val="bottom"/>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(21,953</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3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20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197"/>
        </w:trPr>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r>
      <w:tr>
        <w:trPr>
          <w:trHeight w:val="184"/>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4,187,291</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9,411</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94</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119,452</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(138,727)</w:t>
            </w: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(19,181)</w:t>
            </w:r>
          </w:p>
        </w:tc>
        <w:tc>
          <w:tcPr>
            <w:tcW w:w="120" w:type="dxa"/>
            <w:vAlign w:val="bottom"/>
            <w:tcBorders>
              <w:top w:val="single" w:sz="8" w:color="CCEEFF"/>
            </w:tcBorders>
            <w:shd w:val="clear" w:color="auto" w:fill="CCEEFF"/>
          </w:tcPr>
          <w:p>
            <w:pPr>
              <w:spacing w:after="0"/>
              <w:rPr>
                <w:sz w:val="16"/>
                <w:szCs w:val="16"/>
                <w:color w:val="auto"/>
              </w:rPr>
            </w:pPr>
          </w:p>
        </w:tc>
      </w:tr>
      <w:tr>
        <w:trPr>
          <w:trHeight w:val="192"/>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vested options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268</w:t>
            </w:r>
          </w:p>
        </w:tc>
      </w:tr>
      <w:tr>
        <w:trPr>
          <w:trHeight w:val="19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on Series A Convertible Preferred Stock</w:t>
            </w:r>
          </w:p>
        </w:tc>
        <w:tc>
          <w:tcPr>
            <w:tcW w:w="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92"/>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 issued for cash</w:t>
            </w: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1,268,795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1,903</w:t>
            </w:r>
          </w:p>
        </w:tc>
      </w:tr>
      <w:tr>
        <w:trPr>
          <w:trHeight w:val="176"/>
        </w:trPr>
        <w:tc>
          <w:tcPr>
            <w:tcW w:w="3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Common shares issued upon conversion of SAFE</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agreement</w:t>
            </w:r>
          </w:p>
        </w:tc>
        <w:tc>
          <w:tcPr>
            <w:tcW w:w="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2,731,205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4,097</w:t>
            </w:r>
          </w:p>
        </w:tc>
      </w:tr>
      <w:tr>
        <w:trPr>
          <w:trHeight w:val="204"/>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(9,035)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(9,035)</w:t>
            </w:r>
          </w:p>
        </w:tc>
      </w:tr>
      <w:tr>
        <w:trPr>
          <w:trHeight w:val="196"/>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2024</w:t>
            </w: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8,187,291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125,719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(147,767</w:t>
            </w:r>
          </w:p>
        </w:tc>
        <w:tc>
          <w:tcPr>
            <w:tcW w:w="20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4"/>
        </w:trPr>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Additional</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4"/>
              </w:rPr>
              <w:t>Total</w:t>
            </w:r>
          </w:p>
        </w:tc>
      </w:tr>
      <w:tr>
        <w:trPr>
          <w:trHeight w:val="209"/>
        </w:trPr>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6"/>
                <w:szCs w:val="16"/>
                <w:color w:val="auto"/>
              </w:rPr>
              <w:t>Common Stock</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color w:val="auto"/>
              </w:rPr>
              <w:t>Preferred Stock</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Paid In</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Accumulated</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Stockholders’</w:t>
            </w:r>
          </w:p>
        </w:tc>
      </w:tr>
      <w:tr>
        <w:trPr>
          <w:trHeight w:val="197"/>
        </w:trPr>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Amount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Shares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Amount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w w:val="99"/>
              </w:rPr>
              <w:t>Capital</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Deficit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Deficit</w:t>
            </w:r>
          </w:p>
        </w:tc>
      </w:tr>
      <w:tr>
        <w:trPr>
          <w:trHeight w:val="184"/>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June 30, 2023</w:t>
            </w: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4,169,131</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9,411</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119,138</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(130,695)</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(11,463)</w:t>
            </w:r>
          </w:p>
        </w:tc>
        <w:tc>
          <w:tcPr>
            <w:tcW w:w="120" w:type="dxa"/>
            <w:vAlign w:val="bottom"/>
            <w:tcBorders>
              <w:top w:val="single" w:sz="8" w:color="CCEEFF"/>
            </w:tcBorders>
            <w:shd w:val="clear" w:color="auto" w:fill="CCEEFF"/>
          </w:tcPr>
          <w:p>
            <w:pPr>
              <w:spacing w:after="0"/>
              <w:rPr>
                <w:sz w:val="16"/>
                <w:szCs w:val="16"/>
                <w:color w:val="auto"/>
              </w:rPr>
            </w:pPr>
          </w:p>
        </w:tc>
      </w:tr>
      <w:tr>
        <w:trPr>
          <w:trHeight w:val="192"/>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vested options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139</w:t>
            </w:r>
          </w:p>
        </w:tc>
      </w:tr>
      <w:tr>
        <w:trPr>
          <w:trHeight w:val="20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r>
      <w:tr>
        <w:trPr>
          <w:trHeight w:val="19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2023</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4,169,131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9,411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119,277</w:t>
            </w:r>
          </w:p>
        </w:tc>
        <w:tc>
          <w:tcPr>
            <w:tcW w:w="16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(132,131</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gridSpan w:val="2"/>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4"/>
        </w:trPr>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Additional</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4"/>
              </w:rPr>
              <w:t>Total</w:t>
            </w:r>
          </w:p>
        </w:tc>
      </w:tr>
      <w:tr>
        <w:trPr>
          <w:trHeight w:val="209"/>
        </w:trPr>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6"/>
                <w:szCs w:val="16"/>
                <w:color w:val="auto"/>
              </w:rPr>
              <w:t>Common Stock</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color w:val="auto"/>
              </w:rPr>
              <w:t>Preferred Stock</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Paid In</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Accumulated</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Stockholders’</w:t>
            </w:r>
          </w:p>
        </w:tc>
      </w:tr>
      <w:tr>
        <w:trPr>
          <w:trHeight w:val="197"/>
        </w:trPr>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Amount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Shares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Amount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w w:val="99"/>
              </w:rPr>
              <w:t>Capital</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Deficit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Deficit</w:t>
            </w:r>
          </w:p>
        </w:tc>
      </w:tr>
      <w:tr>
        <w:trPr>
          <w:trHeight w:val="184"/>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100" w:type="dxa"/>
            <w:vAlign w:val="bottom"/>
            <w:tcBorders>
              <w:top w:val="single" w:sz="8" w:color="CCEEFF"/>
            </w:tcBorders>
            <w:gridSpan w:val="2"/>
            <w:shd w:val="clear" w:color="auto" w:fill="CCEEFF"/>
          </w:tcPr>
          <w:p>
            <w:pPr>
              <w:spacing w:after="0"/>
              <w:rPr>
                <w:sz w:val="16"/>
                <w:szCs w:val="16"/>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2,519,485</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gridSpan w:val="2"/>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66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9,411</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32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114,635</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(123,199)</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(8,470)</w:t>
            </w:r>
          </w:p>
        </w:tc>
        <w:tc>
          <w:tcPr>
            <w:tcW w:w="120" w:type="dxa"/>
            <w:vAlign w:val="bottom"/>
            <w:tcBorders>
              <w:top w:val="single" w:sz="8" w:color="CCEEFF"/>
            </w:tcBorders>
            <w:shd w:val="clear" w:color="auto" w:fill="CCEEFF"/>
          </w:tcPr>
          <w:p>
            <w:pPr>
              <w:spacing w:after="0"/>
              <w:rPr>
                <w:sz w:val="16"/>
                <w:szCs w:val="16"/>
                <w:color w:val="auto"/>
              </w:rPr>
            </w:pPr>
          </w:p>
        </w:tc>
      </w:tr>
      <w:tr>
        <w:trPr>
          <w:trHeight w:val="192"/>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vested options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351</w:t>
            </w:r>
          </w:p>
        </w:tc>
      </w:tr>
      <w:tr>
        <w:trPr>
          <w:trHeight w:val="19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vested restricted shares granted to officers</w:t>
            </w:r>
          </w:p>
        </w:tc>
        <w:tc>
          <w:tcPr>
            <w:tcW w:w="10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r>
      <w:tr>
        <w:trPr>
          <w:trHeight w:val="192"/>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9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 issued for financing costs</w:t>
            </w:r>
          </w:p>
        </w:tc>
        <w:tc>
          <w:tcPr>
            <w:tcW w:w="10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82,438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273</w:t>
            </w:r>
          </w:p>
        </w:tc>
      </w:tr>
      <w:tr>
        <w:trPr>
          <w:trHeight w:val="192"/>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Dividends on Series A Convertible Preferred Stock</w:t>
            </w:r>
          </w:p>
        </w:tc>
        <w:tc>
          <w:tcPr>
            <w:tcW w:w="106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9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 issued for cash, net of offering costs</w:t>
            </w:r>
          </w:p>
        </w:tc>
        <w:tc>
          <w:tcPr>
            <w:tcW w:w="10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1,566,732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4,016</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4,016</w:t>
            </w:r>
          </w:p>
        </w:tc>
      </w:tr>
      <w:tr>
        <w:trPr>
          <w:trHeight w:val="204"/>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(8,927)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(8,927)</w:t>
            </w:r>
          </w:p>
        </w:tc>
      </w:tr>
      <w:tr>
        <w:trPr>
          <w:trHeight w:val="196"/>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2023</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4,169,131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9,411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3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119,277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(132,131</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financial statements.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REED’S,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STATEMENTS OF CASH FLOWS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2024 and 2023</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6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6"/>
                <w:szCs w:val="16"/>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Cash flows from operating activities:</w:t>
            </w:r>
          </w:p>
        </w:tc>
        <w:tc>
          <w:tcPr>
            <w:tcW w:w="11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440" w:type="dxa"/>
            <w:vAlign w:val="bottom"/>
            <w:gridSpan w:val="2"/>
          </w:tcPr>
          <w:p>
            <w:pPr>
              <w:jc w:val="right"/>
              <w:ind w:right="1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(9,035)</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Adjustments to reconcile net loss to net cash used in operating activities:</w:t>
            </w: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568</w:t>
            </w:r>
          </w:p>
        </w:tc>
        <w:tc>
          <w:tcPr>
            <w:tcW w:w="280" w:type="dxa"/>
            <w:vAlign w:val="bottom"/>
          </w:tcPr>
          <w:p>
            <w:pPr>
              <w:spacing w:after="0"/>
              <w:rPr>
                <w:sz w:val="16"/>
                <w:szCs w:val="16"/>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Fair value of vested options</w:t>
            </w: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268</w:t>
            </w:r>
          </w:p>
        </w:tc>
        <w:tc>
          <w:tcPr>
            <w:tcW w:w="2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Fair value of vested restricted shares granted to officers</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quality hold write-down</w:t>
            </w: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allowance for doubtful accounts</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(282)</w:t>
            </w:r>
          </w:p>
        </w:tc>
        <w:tc>
          <w:tcPr>
            <w:tcW w:w="280" w:type="dxa"/>
            <w:vAlign w:val="bottom"/>
          </w:tcPr>
          <w:p>
            <w:pPr>
              <w:spacing w:after="0"/>
              <w:rPr>
                <w:sz w:val="16"/>
                <w:szCs w:val="16"/>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 write-downs</w:t>
            </w: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(825)</w:t>
            </w:r>
          </w:p>
        </w:tc>
        <w:tc>
          <w:tcPr>
            <w:tcW w:w="2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3,141</w:t>
            </w:r>
          </w:p>
        </w:tc>
        <w:tc>
          <w:tcPr>
            <w:tcW w:w="280" w:type="dxa"/>
            <w:vAlign w:val="bottom"/>
          </w:tcPr>
          <w:p>
            <w:pPr>
              <w:spacing w:after="0"/>
              <w:rPr>
                <w:sz w:val="16"/>
                <w:szCs w:val="16"/>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w:t>
            </w: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1,084</w:t>
            </w:r>
          </w:p>
        </w:tc>
        <w:tc>
          <w:tcPr>
            <w:tcW w:w="280" w:type="dxa"/>
            <w:vAlign w:val="bottom"/>
          </w:tcPr>
          <w:p>
            <w:pPr>
              <w:spacing w:after="0"/>
              <w:rPr>
                <w:sz w:val="16"/>
                <w:szCs w:val="16"/>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2,903</w:t>
            </w:r>
          </w:p>
        </w:tc>
        <w:tc>
          <w:tcPr>
            <w:tcW w:w="2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(449)</w:t>
            </w:r>
          </w:p>
        </w:tc>
        <w:tc>
          <w:tcPr>
            <w:tcW w:w="280" w:type="dxa"/>
            <w:vAlign w:val="bottom"/>
          </w:tcPr>
          <w:p>
            <w:pPr>
              <w:spacing w:after="0"/>
              <w:rPr>
                <w:sz w:val="16"/>
                <w:szCs w:val="16"/>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Decrease in right of use assets</w:t>
            </w: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121</w:t>
            </w:r>
          </w:p>
        </w:tc>
        <w:tc>
          <w:tcPr>
            <w:tcW w:w="2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180</w:t>
            </w:r>
          </w:p>
        </w:tc>
        <w:tc>
          <w:tcPr>
            <w:tcW w:w="28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dividend</w:t>
            </w: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173</w:t>
            </w:r>
          </w:p>
        </w:tc>
        <w:tc>
          <w:tcPr>
            <w:tcW w:w="280" w:type="dxa"/>
            <w:vAlign w:val="bottom"/>
          </w:tcPr>
          <w:p>
            <w:pPr>
              <w:spacing w:after="0"/>
              <w:rPr>
                <w:sz w:val="16"/>
                <w:szCs w:val="16"/>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1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(160)</w:t>
            </w:r>
          </w:p>
        </w:tc>
        <w:tc>
          <w:tcPr>
            <w:tcW w:w="2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160" w:type="dxa"/>
            <w:vAlign w:val="bottom"/>
            <w:tcBorders>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340" w:type="dxa"/>
            <w:vAlign w:val="bottom"/>
            <w:tcBorders>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Cash flows from investing activities:</w:t>
            </w: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Trademark costs</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 of property and equipment</w:t>
            </w: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1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340" w:type="dxa"/>
            <w:vAlign w:val="bottom"/>
            <w:tcBorders>
              <w:top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Cash flows from financing activities:</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line of credit</w:t>
            </w: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24,878</w:t>
            </w:r>
          </w:p>
        </w:tc>
        <w:tc>
          <w:tcPr>
            <w:tcW w:w="2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32,686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line of credit</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(29,367)</w:t>
            </w:r>
          </w:p>
        </w:tc>
        <w:tc>
          <w:tcPr>
            <w:tcW w:w="28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(34,085)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convertible note payable, net of expenses</w:t>
            </w: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3,797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accrued interest on convertible note payable</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(513)</w:t>
            </w:r>
          </w:p>
        </w:tc>
        <w:tc>
          <w:tcPr>
            <w:tcW w:w="28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common stock</w:t>
            </w: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1,903</w:t>
            </w:r>
          </w:p>
        </w:tc>
        <w:tc>
          <w:tcPr>
            <w:tcW w:w="2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convertible notes</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1,400</w:t>
            </w:r>
          </w:p>
        </w:tc>
        <w:tc>
          <w:tcPr>
            <w:tcW w:w="280" w:type="dxa"/>
            <w:vAlign w:val="bottom"/>
          </w:tcPr>
          <w:p>
            <w:pPr>
              <w:spacing w:after="0"/>
              <w:rPr>
                <w:sz w:val="16"/>
                <w:szCs w:val="16"/>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SAFE agreement</w:t>
            </w: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4,097</w:t>
            </w:r>
          </w:p>
        </w:tc>
        <w:tc>
          <w:tcPr>
            <w:tcW w:w="2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cash recorded as debt discount</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(335)</w:t>
            </w:r>
          </w:p>
        </w:tc>
        <w:tc>
          <w:tcPr>
            <w:tcW w:w="280" w:type="dxa"/>
            <w:vAlign w:val="bottom"/>
          </w:tcPr>
          <w:p>
            <w:pPr>
              <w:spacing w:after="0"/>
              <w:rPr>
                <w:sz w:val="16"/>
                <w:szCs w:val="16"/>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from former related party, net</w:t>
            </w:r>
          </w:p>
        </w:tc>
        <w:tc>
          <w:tcPr>
            <w:tcW w:w="1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(48)</w:t>
            </w:r>
          </w:p>
        </w:tc>
        <w:tc>
          <w:tcPr>
            <w:tcW w:w="2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160" w:type="dxa"/>
            <w:vAlign w:val="bottom"/>
            <w:tcBorders>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3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4,572</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8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(297)</w:t>
            </w:r>
          </w:p>
        </w:tc>
        <w:tc>
          <w:tcPr>
            <w:tcW w:w="280" w:type="dxa"/>
            <w:vAlign w:val="bottom"/>
          </w:tcPr>
          <w:p>
            <w:pPr>
              <w:spacing w:after="0"/>
              <w:rPr>
                <w:sz w:val="16"/>
                <w:szCs w:val="16"/>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1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603</w:t>
            </w:r>
          </w:p>
        </w:tc>
        <w:tc>
          <w:tcPr>
            <w:tcW w:w="2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at end of period</w:t>
            </w:r>
          </w:p>
        </w:tc>
        <w:tc>
          <w:tcPr>
            <w:tcW w:w="1160" w:type="dxa"/>
            <w:vAlign w:val="bottom"/>
            <w:tcBorders>
              <w:bottom w:val="single" w:sz="8" w:color="CCEEFF"/>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11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34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58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244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238</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on Series A Convertible Preferred Stock</w:t>
            </w:r>
          </w:p>
        </w:tc>
        <w:tc>
          <w:tcPr>
            <w:tcW w:w="244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Reclass of prepaid expenses and accounts payable</w:t>
            </w: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financial statements.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7" w:name="page8"/>
    <w:bookmarkEnd w:id="7"/>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REED’S,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CONDENSED FINANCIAL STATEMENTS</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Three and Nine Months Ended September 30, 2024 and 2023 (Unaudited)</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82" w:lineRule="exact"/>
        <w:rPr>
          <w:sz w:val="20"/>
          <w:szCs w:val="20"/>
          <w:color w:val="auto"/>
        </w:rPr>
      </w:pPr>
    </w:p>
    <w:p>
      <w:pPr>
        <w:ind w:left="4" w:right="8100" w:hanging="4"/>
        <w:spacing w:after="0" w:line="503" w:lineRule="auto"/>
        <w:tabs>
          <w:tab w:leader="none" w:pos="164"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Basis of Presentation</w:t>
      </w:r>
    </w:p>
    <w:p>
      <w:pPr>
        <w:jc w:val="both"/>
        <w:ind w:left="4"/>
        <w:spacing w:after="0" w:line="255" w:lineRule="auto"/>
        <w:rPr>
          <w:sz w:val="20"/>
          <w:szCs w:val="20"/>
          <w:color w:val="auto"/>
        </w:rPr>
      </w:pPr>
      <w:r>
        <w:rPr>
          <w:rFonts w:ascii="Times New Roman" w:cs="Times New Roman" w:eastAsia="Times New Roman" w:hAnsi="Times New Roman"/>
          <w:sz w:val="16"/>
          <w:szCs w:val="16"/>
          <w:color w:val="auto"/>
        </w:rPr>
        <w:t>The accompanying condensed financial statements of Reed’s, Inc. (the “Company”, “we”, “us”, or “our”),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10-K for the year ended December 31, 2023, filed with the SEC on April 1, 2024. The accompanying condensed financial statements are unaudited, but in the opinion of management, contain all adjustments, including normal recurring adjustments, necessary to present fairly the Company’s financial position as of September 30, 2024, and the results of its operations and its cash flows for the nine months ended September 30, 2024 and 2023. The balance sheet as of December 31, 2023 is derived from the Company’s audited financial statements.</w:t>
      </w:r>
    </w:p>
    <w:p>
      <w:pPr>
        <w:spacing w:after="0" w:line="165"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color w:val="auto"/>
        </w:rPr>
        <w:t>The results of operations for the nine months ended September 30, 2024, are not necessarily indicative of the results of operations to be expected for the full fiscal year ending December 31, 2024.</w:t>
      </w:r>
    </w:p>
    <w:p>
      <w:pPr>
        <w:spacing w:after="0" w:line="1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Going Concern</w:t>
      </w:r>
    </w:p>
    <w:p>
      <w:pPr>
        <w:spacing w:after="0" w:line="203"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6"/>
          <w:szCs w:val="16"/>
          <w:color w:val="auto"/>
        </w:rPr>
        <w:t>The accompanying financial statements have been prepared on a going concern basis, which contemplates the realization of assets and the settlement of liabilities and commitments in the normal course of business. As reflected in the accompanying financial statements, for the nine months ended September 30, 2024, the Company recorded a net loss of $9,035, and utilized $2,254 of cash in operations and at September 30, 2024, had a working capital deficiency of $22,923 and a stockholders’ deficit of $21,953. As of September 30, 2024, the Company borrowed $5,471 on its line of credit and owed $22,210 on its Notes (See Note 5 and Note 6 for further detail). These factors raise substantial doubt about the Company’s ability to continue as a going concern within one year of the date that the financial statements are issued. The financial statements do not include any adjustments related to the recoverability and classification of recorded asset amounts or the amounts and classification of liabilities that might be necessary should the Company be unable to continue as a going concern. The Company’s independent registered public accounting firm, in its report on the Company’s consolidated financial statements for the year ended December 31, 2023, has also expressed substantial doubt about the Company’s ability to continue as a going concern.</w:t>
      </w:r>
    </w:p>
    <w:p>
      <w:pPr>
        <w:spacing w:after="0" w:line="168"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color w:val="auto"/>
        </w:rPr>
        <w:t>As of September 30, 2024, we had a cash balance of $306, no availability under our line of credit and $7,529 of additional borrowing capacity from the credit facility assuming there is availability under the terms.</w:t>
      </w:r>
    </w:p>
    <w:p>
      <w:pPr>
        <w:spacing w:after="0" w:line="143"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6"/>
          <w:szCs w:val="16"/>
          <w:color w:val="auto"/>
        </w:rPr>
        <w:t>Historically, we have financed our operations through public and private sales of common stock, issuance of preferred and common stock, convertible debt instruments, term loans and credit lines from financial institutions, and cash generated from operations.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The Company is continuing to discuss restructuring of debt with existing lenders and is exploring new financing opportunities to address the line of credit which comes due in March 2025 (see Note 5) and the portion of the debt under the Notes which comes due on December 15, 2024 (see Note 6).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6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4"/>
          </w:cols>
          <w:pgMar w:left="316" w:top="602" w:right="319" w:bottom="1440" w:gutter="0" w:footer="0" w:header="0"/>
        </w:sectPr>
      </w:pPr>
    </w:p>
    <w:bookmarkStart w:id="8" w:name="page9"/>
    <w:bookmarkEnd w:id="8"/>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We have also taken decisive action to improve our margins, including fully outsourcing our manufacturing process, streamlining our product portfolio, negotiating improved vendor contracts and restructuring our selling prices.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Trends - Market Conditions</w:t>
      </w:r>
    </w:p>
    <w:p>
      <w:pPr>
        <w:spacing w:after="0" w:line="20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Although the U.S. economy continued to grow throughout 2023 and into Q3 2024, the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During the three months ending September 30, 2024, the Company continued to experience moderation from the elevated freight costs experienced in 2023. The average cost of shipping and handling for the three months ended September 30, 2024, was $2.99 as compared to $2.98 in the three months ended September 30, 2023. During the nine months ended September 30, 2024, the average cost of shipping and handling was $2.66 per case, as compared to $3.17 per case for the nine months ended September 30, 2023. Although the Company has experienced decreases in freight costs over the last four quarters, in the Company’s opinion there remains a volatile environment and the Company will continue to monitor pricing and availability in transportation. Mitigation plans have been implemented to manage this risk. The Company has been negatively impacted by supply chain challenges affecting our ability to benefit from strong demand for, and increased sales of our product. The disruption caused by labor shortages, significant raw material cost inflation, logistics issues and increased freight costs, and ongoing port congestion, resulted in suppressed margins. The Company has experienced moderation in inflation and anticipates this continuing throughout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credit loss reserves for accounts receivable, assumptions used in valuing inventories at net realizable value, impairment testing of recorded long-term tangible and intangible assets, the valuation allowance for deferred tax assets, accruals for potential liabilities, assumptions made in valuing stock instruments issued for services, assumptions in determining the fair value of our SAFE investments and assumptions used in the determination of the Company’s liquidity.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The Company recognizes revenue in accordance with Accounting Standards Codification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(“ASC 606”). 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 All of the Company’s products are offered for sale as finished goods only, and there are no performance obligations required post-shipment for customers to derive the expected value from them.</w:t>
      </w:r>
    </w:p>
    <w:p>
      <w:pPr>
        <w:spacing w:after="0" w:line="1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Company does not allow for returns, except for damaged products when damage occurred pre-fulfilment.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Loss per Common Share</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Basic earnings (loss) per share is computed by dividing the net income (loss) applicable to common stockholders by the weighted average number of shares of common stock outstanding during the year, excluding shares of unvested restricted common stock. Shares of restricted stock are included in the basic weighted average number of common shares outstanding from the time they vest.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Shares of restricted stock are included in the diluted weighted average number of common shares outstanding from the date they are granted. Potential common shares are excluded from computation when their effect is antidilutive.</w:t>
      </w:r>
    </w:p>
    <w:p>
      <w:pPr>
        <w:spacing w:after="0" w:line="16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For the periods ended September 30, 2024 and 2023, the calculations of basic and diluted loss per share are the same because potential dilutive securities would have had an anti-dilutive effect. The potentially dilutive securities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0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628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185"/>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549,292</w:t>
            </w:r>
          </w:p>
        </w:tc>
        <w:tc>
          <w:tcPr>
            <w:tcW w:w="3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549,292</w:t>
            </w:r>
          </w:p>
        </w:tc>
        <w:tc>
          <w:tcPr>
            <w:tcW w:w="100" w:type="dxa"/>
            <w:vAlign w:val="bottom"/>
            <w:shd w:val="clear" w:color="auto" w:fill="CCEEFF"/>
          </w:tcPr>
          <w:p>
            <w:pPr>
              <w:spacing w:after="0"/>
              <w:rPr>
                <w:sz w:val="16"/>
                <w:szCs w:val="16"/>
                <w:color w:val="auto"/>
              </w:rPr>
            </w:pPr>
          </w:p>
        </w:tc>
      </w:tr>
      <w:tr>
        <w:trPr>
          <w:trHeight w:val="192"/>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128,309</w:t>
            </w:r>
          </w:p>
        </w:tc>
        <w:tc>
          <w:tcPr>
            <w:tcW w:w="3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145,012</w:t>
            </w:r>
          </w:p>
        </w:tc>
        <w:tc>
          <w:tcPr>
            <w:tcW w:w="100" w:type="dxa"/>
            <w:vAlign w:val="bottom"/>
          </w:tcPr>
          <w:p>
            <w:pPr>
              <w:spacing w:after="0"/>
              <w:rPr>
                <w:sz w:val="16"/>
                <w:szCs w:val="16"/>
                <w:color w:val="auto"/>
              </w:rPr>
            </w:pPr>
          </w:p>
        </w:tc>
      </w:tr>
      <w:tr>
        <w:trPr>
          <w:trHeight w:val="192"/>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 payable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1,844,829</w:t>
            </w:r>
          </w:p>
        </w:tc>
        <w:tc>
          <w:tcPr>
            <w:tcW w:w="3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1,475,725</w:t>
            </w:r>
          </w:p>
        </w:tc>
        <w:tc>
          <w:tcPr>
            <w:tcW w:w="100" w:type="dxa"/>
            <w:vAlign w:val="bottom"/>
            <w:shd w:val="clear" w:color="auto" w:fill="CCEEFF"/>
          </w:tcPr>
          <w:p>
            <w:pPr>
              <w:spacing w:after="0"/>
              <w:rPr>
                <w:sz w:val="16"/>
                <w:szCs w:val="16"/>
                <w:color w:val="auto"/>
              </w:rPr>
            </w:pPr>
          </w:p>
        </w:tc>
      </w:tr>
      <w:tr>
        <w:trPr>
          <w:trHeight w:val="204"/>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equivalent of Series A Convertible Preferred stock</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753</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753</w:t>
            </w:r>
          </w:p>
        </w:tc>
      </w:tr>
      <w:tr>
        <w:trPr>
          <w:trHeight w:val="196"/>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2,523,183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2,170,782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Compensation Expense</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Times New Roman" w:cs="Times New Roman" w:eastAsia="Times New Roman" w:hAnsi="Times New Roman"/>
          <w:sz w:val="16"/>
          <w:szCs w:val="16"/>
          <w:i w:val="1"/>
          <w:iCs w:val="1"/>
          <w:color w:val="auto"/>
        </w:rPr>
        <w:t>Compensation-Stock Compensation</w:t>
      </w:r>
      <w:r>
        <w:rPr>
          <w:rFonts w:ascii="Times New Roman" w:cs="Times New Roman" w:eastAsia="Times New Roman" w:hAnsi="Times New Roman"/>
          <w:sz w:val="16"/>
          <w:szCs w:val="16"/>
          <w:color w:val="auto"/>
        </w:rPr>
        <w:t xml:space="preserve"> whereby the value of the award is measured on the date of grant and recognized for employees as compensation expense on the straight-line basis over the vesting period. Recognition of compensation expenses for non-employees is in the same period and manner as if the Company had paid cash for the services. The Company recognizes the fair value of stock-based compensation within its Statements of Operations with classification depending on the nature of the services rendered.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Advertising Costs</w:t>
      </w:r>
    </w:p>
    <w:p>
      <w:pPr>
        <w:spacing w:after="0" w:line="2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Advertising costs are expensed as incurred and are included in selling and marketing expense. Advertising costs for the three months ended September 30, 2024, and 2023, aggregated $8 and $22, respectively. Advertising costs for the nine months ended September 30, 2024, and 2023, aggregated $38 and $82,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Concentrations</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Net sales. </w:t>
      </w:r>
      <w:r>
        <w:rPr>
          <w:rFonts w:ascii="Times New Roman" w:cs="Times New Roman" w:eastAsia="Times New Roman" w:hAnsi="Times New Roman"/>
          <w:sz w:val="16"/>
          <w:szCs w:val="16"/>
          <w:color w:val="auto"/>
        </w:rPr>
        <w:t>During the three months ended September 30, 2024, two customers accounted for 18% and 15% of gross billing, respectively, and during the nine months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September 30, 2024, three customers accounted for 18%, 15%, and 11% of gross billing, respectively. During the three months ended September 30, 2023, three customers accounted for 22%, 14%, and 12% of gross billing, respectively, and during the nine months ended September 30, 2023, two customers accounted for 19% and 13% of gross billing, respectively. No other customers exceeded 10% of sales in either period.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0" w:name="page11"/>
    <w:bookmarkEnd w:id="10"/>
    <w:p>
      <w:pPr>
        <w:jc w:val="both"/>
        <w:ind w:right="20"/>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Accounts receivable. </w:t>
      </w:r>
      <w:r>
        <w:rPr>
          <w:rFonts w:ascii="Times New Roman" w:cs="Times New Roman" w:eastAsia="Times New Roman" w:hAnsi="Times New Roman"/>
          <w:sz w:val="16"/>
          <w:szCs w:val="16"/>
          <w:color w:val="auto"/>
        </w:rPr>
        <w:t>As of September 30, 2024, the Company had accounts receivable from two customers which comprised 32% and 13% of its gross accounts receivable,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respectively. As of December 31, 2023, the Company had accounts receivable from three customers which comprised 24%, 15% and 11% of its gross accounts receivable, respectively. No other customers exceeded 10% of gross accounts receivable in either period.</w:t>
      </w:r>
    </w:p>
    <w:p>
      <w:pPr>
        <w:spacing w:after="0" w:line="15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The Company utilizes co-packers to produce 100% of its products. </w:t>
      </w:r>
      <w:r>
        <w:rPr>
          <w:rFonts w:ascii="Times New Roman" w:cs="Times New Roman" w:eastAsia="Times New Roman" w:hAnsi="Times New Roman"/>
          <w:sz w:val="16"/>
          <w:szCs w:val="16"/>
          <w:color w:val="auto"/>
        </w:rPr>
        <w:t>During the nine months ended September 30, 2024 and the year ended December 31, 2023,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utilized nine separate co-packers for most its production and bottling of beverage products in the United States. The Company has long-standing relationships with two different co-packers, and a third co-packing agreement with California Custom Beverage LLC (“CCB”), a former related party (see Note 11). Although there are other packers, a change in co-packers may cause a delay in the production process, which could ultimately affect operating results.</w:t>
      </w:r>
    </w:p>
    <w:p>
      <w:pPr>
        <w:spacing w:after="0" w:line="15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Purchases from vendors. </w:t>
      </w:r>
      <w:r>
        <w:rPr>
          <w:rFonts w:ascii="Times New Roman" w:cs="Times New Roman" w:eastAsia="Times New Roman" w:hAnsi="Times New Roman"/>
          <w:sz w:val="16"/>
          <w:szCs w:val="16"/>
          <w:color w:val="auto"/>
        </w:rPr>
        <w:t>During the nine months ended September 30, 2024, the Company’s two largest vendors accounted for approximately 11% and 10% of all purchases.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During the nine months ended September 30, 2023, the Company’s largest vendor accounted for approximately 9% of all purchases. No other vendors exceeded 10% of all purchases in either period.</w:t>
      </w:r>
    </w:p>
    <w:p>
      <w:pPr>
        <w:spacing w:after="0" w:line="15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i w:val="1"/>
          <w:iCs w:val="1"/>
          <w:color w:val="auto"/>
        </w:rPr>
        <w:t xml:space="preserve">Accounts payable. </w:t>
      </w:r>
      <w:r>
        <w:rPr>
          <w:rFonts w:ascii="Times New Roman" w:cs="Times New Roman" w:eastAsia="Times New Roman" w:hAnsi="Times New Roman"/>
          <w:sz w:val="16"/>
          <w:szCs w:val="16"/>
          <w:color w:val="auto"/>
        </w:rPr>
        <w:t>As of September 30, 2024, no vendor accounted for more than 10% of total accounts payable. As of December 31, 2023, two vendors accounted for 10%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10% of total accounts payable, respectively. No other vendors exceeded 10% of accounts payable in either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20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ASC 820 defines the following levels of subjectivity associated with the inputs: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1—Quoted prices in active markets for identical assets or liabilities.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2—Inputs, other than the quoted prices in active markets, that are observable either directly or indirectly.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3—Unobservable inputs based on the Company’s assumptions.</w:t>
      </w:r>
    </w:p>
    <w:p>
      <w:pPr>
        <w:spacing w:after="0" w:line="18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our liability under our SAFE investments were determined using level 3 inputs. (Note 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Reclassifications</w:t>
      </w: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Certain prior year amounts have been reclassified for consistency with the current period presentation. Collection from customers amounting to $1,217 that was previously presented as a deduction from prepaid expenses at December 31, 2023 have been reclassed as an offset against accounts receivable. This reclassification had no effect on the reported results of operations or cash flows.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 Segment Disclosure</w:t>
      </w:r>
      <w:r>
        <w:rPr>
          <w:rFonts w:ascii="Times New Roman" w:cs="Times New Roman" w:eastAsia="Times New Roman" w:hAnsi="Times New Roman"/>
          <w:sz w:val="16"/>
          <w:szCs w:val="16"/>
          <w:color w:val="auto"/>
        </w:rPr>
        <w:t xml:space="preserve">,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including the significant segment expense disclosures. This standard became effective for the Company on January 1, 2024. to The adoption of 2023-7 did not have a material impact on the Company’s results of operations, financial position or cash flows.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1" w:name="page12"/>
    <w:bookmarkEnd w:id="11"/>
    <w:p>
      <w:pPr>
        <w:ind w:right="20"/>
        <w:spacing w:after="0" w:line="283" w:lineRule="auto"/>
        <w:rPr>
          <w:sz w:val="20"/>
          <w:szCs w:val="20"/>
          <w:color w:val="auto"/>
        </w:rPr>
      </w:pPr>
      <w:r>
        <w:rPr>
          <w:rFonts w:ascii="Times New Roman" w:cs="Times New Roman" w:eastAsia="Times New Roman" w:hAnsi="Times New Roman"/>
          <w:sz w:val="16"/>
          <w:szCs w:val="16"/>
          <w:color w:val="auto"/>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Inventory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Inventory is valued at the lower of cost (first-in, first-out) or net realizable value, net of write downs, and is comprised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tcPr>
          <w:p>
            <w:pPr>
              <w:jc w:val="cente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5760" w:type="dxa"/>
            <w:vAlign w:val="bottom"/>
          </w:tcPr>
          <w:p>
            <w:pPr>
              <w:spacing w:after="0"/>
              <w:rPr>
                <w:sz w:val="18"/>
                <w:szCs w:val="18"/>
                <w:color w:val="auto"/>
              </w:rPr>
            </w:pPr>
          </w:p>
        </w:tc>
        <w:tc>
          <w:tcPr>
            <w:tcW w:w="2700" w:type="dxa"/>
            <w:vAlign w:val="bottom"/>
            <w:gridSpan w:val="2"/>
          </w:tcPr>
          <w:p>
            <w:pPr>
              <w:jc w:val="center"/>
              <w:ind w:left="158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 and packaging</w:t>
            </w:r>
          </w:p>
        </w:tc>
        <w:tc>
          <w:tcPr>
            <w:tcW w:w="12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ind w:right="132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Finished products</w:t>
            </w:r>
          </w:p>
        </w:tc>
        <w:tc>
          <w:tcPr>
            <w:tcW w:w="1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3,108</w:t>
            </w:r>
          </w:p>
        </w:tc>
        <w:tc>
          <w:tcPr>
            <w:tcW w:w="280" w:type="dxa"/>
            <w:vAlign w:val="bottom"/>
          </w:tcPr>
          <w:p>
            <w:pPr>
              <w:spacing w:after="0"/>
              <w:rPr>
                <w:sz w:val="17"/>
                <w:szCs w:val="17"/>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4,855</w:t>
            </w:r>
          </w:p>
        </w:tc>
        <w:tc>
          <w:tcPr>
            <w:tcW w:w="0" w:type="dxa"/>
            <w:vAlign w:val="bottom"/>
          </w:tcPr>
          <w:p>
            <w:pPr>
              <w:spacing w:after="0"/>
              <w:rPr>
                <w:sz w:val="1"/>
                <w:szCs w:val="1"/>
                <w:color w:val="auto"/>
              </w:rPr>
            </w:pPr>
          </w:p>
        </w:tc>
      </w:tr>
      <w:tr>
        <w:trPr>
          <w:trHeight w:val="196"/>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ind w:right="132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9,251</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3. Property and Equipment</w:t>
            </w:r>
          </w:p>
        </w:tc>
        <w:tc>
          <w:tcPr>
            <w:tcW w:w="1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7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are comprised of the following (in thousands):</w:t>
            </w: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jc w:val="cente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5760" w:type="dxa"/>
            <w:vAlign w:val="bottom"/>
          </w:tcPr>
          <w:p>
            <w:pPr>
              <w:spacing w:after="0"/>
              <w:rPr>
                <w:sz w:val="18"/>
                <w:szCs w:val="18"/>
                <w:color w:val="auto"/>
              </w:rPr>
            </w:pPr>
          </w:p>
        </w:tc>
        <w:tc>
          <w:tcPr>
            <w:tcW w:w="2700" w:type="dxa"/>
            <w:vAlign w:val="bottom"/>
            <w:gridSpan w:val="2"/>
          </w:tcPr>
          <w:p>
            <w:pPr>
              <w:jc w:val="center"/>
              <w:ind w:left="158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12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ind w:right="132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1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400</w:t>
            </w:r>
          </w:p>
        </w:tc>
        <w:tc>
          <w:tcPr>
            <w:tcW w:w="280" w:type="dxa"/>
            <w:vAlign w:val="bottom"/>
          </w:tcPr>
          <w:p>
            <w:pPr>
              <w:spacing w:after="0"/>
              <w:rPr>
                <w:sz w:val="16"/>
                <w:szCs w:val="16"/>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1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352</w:t>
            </w:r>
          </w:p>
        </w:tc>
        <w:tc>
          <w:tcPr>
            <w:tcW w:w="2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04"/>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tcPr>
          <w:p>
            <w:pPr>
              <w:spacing w:after="0"/>
              <w:rPr>
                <w:sz w:val="17"/>
                <w:szCs w:val="17"/>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84"/>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cost</w:t>
            </w:r>
          </w:p>
        </w:tc>
        <w:tc>
          <w:tcPr>
            <w:tcW w:w="12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1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(1,277)</w:t>
            </w:r>
          </w:p>
        </w:tc>
        <w:tc>
          <w:tcPr>
            <w:tcW w:w="280" w:type="dxa"/>
            <w:vAlign w:val="bottom"/>
          </w:tcPr>
          <w:p>
            <w:pPr>
              <w:spacing w:after="0"/>
              <w:rPr>
                <w:sz w:val="17"/>
                <w:szCs w:val="17"/>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(1,068)</w:t>
            </w:r>
          </w:p>
        </w:tc>
        <w:tc>
          <w:tcPr>
            <w:tcW w:w="0" w:type="dxa"/>
            <w:vAlign w:val="bottom"/>
          </w:tcPr>
          <w:p>
            <w:pPr>
              <w:spacing w:after="0"/>
              <w:rPr>
                <w:sz w:val="1"/>
                <w:szCs w:val="1"/>
                <w:color w:val="auto"/>
              </w:rPr>
            </w:pPr>
          </w:p>
        </w:tc>
      </w:tr>
      <w:tr>
        <w:trPr>
          <w:trHeight w:val="196"/>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value</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ind w:right="132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Depreciation expense for the nine months ended September 30, 2024 and 2023 was $88 and $112, respectively, and amortization of right-of-use assets for the nine months ended September 30, 2024 and 2023 was $121 and $102, respectively.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 Intangible Assets</w:t>
            </w:r>
          </w:p>
        </w:tc>
        <w:tc>
          <w:tcPr>
            <w:tcW w:w="2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5"/>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consist of the following (in thousands):</w:t>
            </w:r>
          </w:p>
        </w:tc>
        <w:tc>
          <w:tcPr>
            <w:tcW w:w="2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6"/>
        </w:trPr>
        <w:tc>
          <w:tcPr>
            <w:tcW w:w="4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58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1"/>
        </w:trPr>
        <w:tc>
          <w:tcPr>
            <w:tcW w:w="4560" w:type="dxa"/>
            <w:vAlign w:val="bottom"/>
          </w:tcPr>
          <w:p>
            <w:pPr>
              <w:spacing w:after="0"/>
              <w:rPr>
                <w:sz w:val="18"/>
                <w:szCs w:val="18"/>
                <w:color w:val="auto"/>
              </w:rPr>
            </w:pPr>
          </w:p>
        </w:tc>
        <w:tc>
          <w:tcPr>
            <w:tcW w:w="40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185"/>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Brand names</w:t>
            </w:r>
          </w:p>
        </w:tc>
        <w:tc>
          <w:tcPr>
            <w:tcW w:w="24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ind w:right="142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Borders>
              <w:top w:val="single" w:sz="8" w:color="CCEEFF"/>
            </w:tcBorders>
            <w:shd w:val="clear" w:color="auto" w:fill="CCEEFF"/>
          </w:tcPr>
          <w:p>
            <w:pPr>
              <w:spacing w:after="0"/>
              <w:rPr>
                <w:sz w:val="16"/>
                <w:szCs w:val="16"/>
                <w:color w:val="auto"/>
              </w:rPr>
            </w:pPr>
          </w:p>
        </w:tc>
      </w:tr>
      <w:tr>
        <w:trPr>
          <w:trHeight w:val="204"/>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Trademarks</w:t>
            </w:r>
          </w:p>
        </w:tc>
        <w:tc>
          <w:tcPr>
            <w:tcW w:w="2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w:t>
            </w:r>
          </w:p>
        </w:tc>
      </w:tr>
      <w:tr>
        <w:trPr>
          <w:trHeight w:val="196"/>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420" w:type="dxa"/>
            <w:vAlign w:val="bottom"/>
            <w:tcBorders>
              <w:top w:val="single" w:sz="8" w:color="CCEEFF"/>
              <w:bottom w:val="single" w:sz="8" w:color="CCEEFF"/>
            </w:tcBorders>
            <w:shd w:val="clear" w:color="auto" w:fill="CCEEFF"/>
          </w:tcPr>
          <w:p>
            <w:pPr>
              <w:spacing w:after="0"/>
              <w:rPr>
                <w:sz w:val="17"/>
                <w:szCs w:val="17"/>
                <w:color w:val="auto"/>
              </w:rPr>
            </w:pPr>
          </w:p>
        </w:tc>
        <w:tc>
          <w:tcPr>
            <w:tcW w:w="1580" w:type="dxa"/>
            <w:vAlign w:val="bottom"/>
            <w:tcBorders>
              <w:top w:val="single" w:sz="8" w:color="auto"/>
              <w:bottom w:val="single" w:sz="8" w:color="auto"/>
            </w:tcBorders>
            <w:shd w:val="clear" w:color="auto" w:fill="CCEEFF"/>
          </w:tcPr>
          <w:p>
            <w:pPr>
              <w:jc w:val="right"/>
              <w:ind w:right="142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5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1"/>
        </w:trPr>
        <w:tc>
          <w:tcPr>
            <w:tcW w:w="45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right"/>
              <w:ind w:right="2740"/>
              <w:spacing w:after="0"/>
              <w:rPr>
                <w:sz w:val="20"/>
                <w:szCs w:val="20"/>
                <w:color w:val="auto"/>
              </w:rPr>
            </w:pPr>
            <w:r>
              <w:rPr>
                <w:rFonts w:ascii="Times New Roman" w:cs="Times New Roman" w:eastAsia="Times New Roman" w:hAnsi="Times New Roman"/>
                <w:sz w:val="16"/>
                <w:szCs w:val="16"/>
                <w:color w:val="auto"/>
              </w:rPr>
              <w:t>F-9</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4" w:right="31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 Line of Credit</w:t>
            </w: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The Company’s credit facility consisted of the following (in thousands):</w:t>
            </w:r>
          </w:p>
        </w:tc>
        <w:tc>
          <w:tcPr>
            <w:tcW w:w="1180" w:type="dxa"/>
            <w:vAlign w:val="bottom"/>
          </w:tcPr>
          <w:p>
            <w:pPr>
              <w:spacing w:after="0"/>
              <w:rPr>
                <w:sz w:val="24"/>
                <w:szCs w:val="2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5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800" w:type="dxa"/>
            <w:vAlign w:val="bottom"/>
          </w:tcPr>
          <w:p>
            <w:pPr>
              <w:spacing w:after="0"/>
              <w:rPr>
                <w:sz w:val="18"/>
                <w:szCs w:val="18"/>
                <w:color w:val="auto"/>
              </w:rPr>
            </w:pPr>
          </w:p>
        </w:tc>
        <w:tc>
          <w:tcPr>
            <w:tcW w:w="2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Line of credit – Alterna Capital Solutions</w:t>
            </w:r>
          </w:p>
        </w:tc>
        <w:tc>
          <w:tcPr>
            <w:tcW w:w="118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ind w:right="136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Less: capitalized financing costs</w:t>
            </w:r>
          </w:p>
        </w:tc>
        <w:tc>
          <w:tcPr>
            <w:tcW w:w="1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(81)</w:t>
            </w:r>
          </w:p>
        </w:tc>
        <w:tc>
          <w:tcPr>
            <w:tcW w:w="280" w:type="dxa"/>
            <w:vAlign w:val="bottom"/>
          </w:tcPr>
          <w:p>
            <w:pPr>
              <w:spacing w:after="0"/>
              <w:rPr>
                <w:sz w:val="17"/>
                <w:szCs w:val="17"/>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196"/>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ind w:right="136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In March, 2022, the Company entered into a financing agreement for a line of credit with Alterna Capital Solutions (“ACS”). The ACS line of credit is for a term of 3 years, provides for borrowings of up to $13,000, and is secured by eligible accounts receivable and inventory, and are subject to a collateral sharing agreement with Whitebox, another secured lender (see Note 6). An over advance rider provides for up to $500 of additional borrowing above the collateralized base (the “Over Advance”) up to a total borrowing of $13,500. As of September 30, 2024, there was no remaining availability under the line of credit, and $7,529 of borrowing capacity available.</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Borrowings based on receivables bears an interest of prime plus 4.75% but not less than 8.0% (13.25% at September 30, 2024 and 13.25% at December 31, 2023). Borrowings based on inventory bears an interest of prime plus 5.25% but not less than 8.5% (13.90% at September 30, 2024 and 13.90% at December 31, 2023). The additional over advance rider bears a rate of prime plus 12.75%, but not less than 16.00% (25.00% at September 30, 2024 and 18.00% at December 31, 2023). Additionally, the line of credit is subject to a monthly monitoring fee of $1 with a minimum usage requirement on the credit facility. A loan balance of less than $1,500 will bear interest at a rate in line with account receivables advances plus the monthly monitoring fee of $1.</w:t>
      </w:r>
    </w:p>
    <w:p>
      <w:pPr>
        <w:spacing w:after="0" w:line="16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Company incurred $483 of direct costs of the transaction, consisting primarily of broker, bank and legal fees. These costs have been capitalized and are being amortized over the 3-year life of the ACS agreement. The unamortized debt discount balance was $201 at December 31, 2023. For the nine months ended September 30, 2024, amortization of debt discount was $120, and as of September 30, 2024, the remaining unamortized debt discount balance is $81.</w:t>
      </w:r>
    </w:p>
    <w:p>
      <w:pPr>
        <w:spacing w:after="0" w:line="15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On July 26, 2024, Norman E. Snyder Jr, CEO of the Company, provided a personal guaranty for $500 over advance on our existing line of credit. The over advance was repaid by September 30,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Secured Notes Payable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Amounts outstanding under the Company’s secured convertible notes payable are as follows (amounts in 000’s except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Secured Convertible “Original” Notes Payable (A)</w:t>
            </w:r>
          </w:p>
        </w:tc>
        <w:tc>
          <w:tcPr>
            <w:tcW w:w="26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ind w:right="132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10,250</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Secured “Option” Notes Payable (B)</w:t>
            </w:r>
          </w:p>
        </w:tc>
        <w:tc>
          <w:tcPr>
            <w:tcW w:w="2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6,504</w:t>
            </w:r>
          </w:p>
        </w:tc>
        <w:tc>
          <w:tcPr>
            <w:tcW w:w="280" w:type="dxa"/>
            <w:vAlign w:val="bottom"/>
          </w:tcPr>
          <w:p>
            <w:pPr>
              <w:spacing w:after="0"/>
              <w:rPr>
                <w:sz w:val="16"/>
                <w:szCs w:val="16"/>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4,050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2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2,222</w:t>
            </w:r>
          </w:p>
        </w:tc>
        <w:tc>
          <w:tcPr>
            <w:tcW w:w="280" w:type="dxa"/>
            <w:vAlign w:val="bottom"/>
          </w:tcPr>
          <w:p>
            <w:pPr>
              <w:spacing w:after="0"/>
              <w:rPr>
                <w:sz w:val="16"/>
                <w:szCs w:val="16"/>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 on excess debt borrowing</w:t>
            </w:r>
          </w:p>
        </w:tc>
        <w:tc>
          <w:tcPr>
            <w:tcW w:w="26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3,234</w:t>
            </w:r>
          </w:p>
        </w:tc>
        <w:tc>
          <w:tcPr>
            <w:tcW w:w="2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2,824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Capitalized financing costs</w:t>
            </w:r>
          </w:p>
        </w:tc>
        <w:tc>
          <w:tcPr>
            <w:tcW w:w="2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(459)</w:t>
            </w:r>
          </w:p>
        </w:tc>
        <w:tc>
          <w:tcPr>
            <w:tcW w:w="280" w:type="dxa"/>
            <w:vAlign w:val="bottom"/>
          </w:tcPr>
          <w:p>
            <w:pPr>
              <w:spacing w:after="0"/>
              <w:rPr>
                <w:sz w:val="17"/>
                <w:szCs w:val="17"/>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6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ind w:right="132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21,751</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2"/>
          </w:tcPr>
          <w:p>
            <w:pPr>
              <w:jc w:val="right"/>
              <w:ind w:right="2600"/>
              <w:spacing w:after="0"/>
              <w:rPr>
                <w:sz w:val="20"/>
                <w:szCs w:val="20"/>
                <w:color w:val="auto"/>
              </w:rPr>
            </w:pPr>
            <w:r>
              <w:rPr>
                <w:rFonts w:ascii="Times New Roman" w:cs="Times New Roman" w:eastAsia="Times New Roman" w:hAnsi="Times New Roman"/>
                <w:sz w:val="16"/>
                <w:szCs w:val="16"/>
                <w:color w:val="auto"/>
              </w:rPr>
              <w:t>F-10</w:t>
            </w: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02"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i w:val="1"/>
          <w:iCs w:val="1"/>
          <w:color w:val="auto"/>
        </w:rPr>
        <w:t>Secured Notes</w:t>
      </w:r>
    </w:p>
    <w:p>
      <w:pPr>
        <w:spacing w:after="0" w:line="203" w:lineRule="exact"/>
        <w:rPr>
          <w:sz w:val="20"/>
          <w:szCs w:val="20"/>
          <w:color w:val="auto"/>
        </w:rPr>
      </w:pPr>
    </w:p>
    <w:p>
      <w:pPr>
        <w:jc w:val="both"/>
        <w:ind w:left="580" w:right="20" w:hanging="295"/>
        <w:spacing w:after="0" w:line="257"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2022, the Company issued $11,250 of convertible notes payable (the “Original Notes”) to entities affiliated with Whitebox Advisors, LLC (collectively, “Whitebox”). The Original Notes bear interest at 10% per annum (with 5% per annum payable in cash and 5% per annum payable in kind (“PIK”) by adding such PIK interest to the principal amount of the notes), are secured by substantially all of the Company’s assets (including all of its intellectual property) and are subject to a collateral sharing agreement with Alterna Capital (ACS), the Company’s existing secured lender. The Original Notes mature the earlier of September 30, 2025 or the scheduled maturity of any unsecured indebtedness incurred by the Company that is junior in right of payment to Note obligations. At each of September 30, 2024 and December 31, 2023, the principal balance of the Original Notes was $10,250.</w:t>
      </w:r>
    </w:p>
    <w:p>
      <w:pPr>
        <w:spacing w:after="0" w:line="164" w:lineRule="exact"/>
        <w:rPr>
          <w:rFonts w:ascii="Times New Roman" w:cs="Times New Roman" w:eastAsia="Times New Roman" w:hAnsi="Times New Roman"/>
          <w:sz w:val="16"/>
          <w:szCs w:val="16"/>
          <w:color w:val="auto"/>
        </w:rPr>
      </w:pPr>
    </w:p>
    <w:p>
      <w:pPr>
        <w:jc w:val="both"/>
        <w:ind w:left="58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conversion or early payment, holders of the Original Notes are entitled to receive an interest make-whole payment, as defined, equal to the sum of the remaining scheduled payments of interest on the Original Notes that would be due at maturity, payable, at the Company’s option, in cash or in shares of common stock. On August 1, 2022, the Original Notes were amended to add a 10% fee (“Excess ABL Fee’) commencing with the fiscal month ending October 31, 2022 for the amount that the Company’s line of credit with ACS exceeds (i) (x) prior to November 30, 2024, $9,500 and (y) on and after November 30, 2024, $6,500, if the Company has not publicly announced or is not actively pursuing a proposed transaction as a result of which the Company reasonably believes that its Common Stock will be listed on a national securities exchange) or $9,500 otherwise, minus (ii) any amounts repaid to ACS pursuant to the Option Notes (not to exceed $500) plus (iii) the aggregate principal amount of Original Notes voluntarily converted into Conversion Consideration (as defined therein), in each case subject to the terms of the collateral sharing agreement; provided that the sum of the amounts in clauses (i), (ii) and (ii) above shall not exceed $10,500 minus any amounts repaid ACS as contemplated by the Option Notes (not to exceed $500).</w:t>
      </w:r>
    </w:p>
    <w:p>
      <w:pPr>
        <w:spacing w:after="0" w:line="165" w:lineRule="exact"/>
        <w:rPr>
          <w:sz w:val="20"/>
          <w:szCs w:val="20"/>
          <w:color w:val="auto"/>
        </w:rPr>
      </w:pPr>
    </w:p>
    <w:p>
      <w:pPr>
        <w:jc w:val="both"/>
        <w:ind w:left="580" w:right="20"/>
        <w:spacing w:after="0" w:line="259" w:lineRule="auto"/>
        <w:rPr>
          <w:sz w:val="20"/>
          <w:szCs w:val="20"/>
          <w:color w:val="auto"/>
        </w:rPr>
      </w:pPr>
      <w:r>
        <w:rPr>
          <w:rFonts w:ascii="Times New Roman" w:cs="Times New Roman" w:eastAsia="Times New Roman" w:hAnsi="Times New Roman"/>
          <w:sz w:val="16"/>
          <w:szCs w:val="16"/>
          <w:color w:val="auto"/>
        </w:rPr>
        <w:t>The Original Notes have an amortization feature which requires the Company to make monthly payments of principal of $200 plus accrued interest, payable in cash or in shares of the Company’s common stock at the option of the Company, based on 90% of the average prices of the Company’s common stock, as defined. During 2023, Whitebox waived the requirement for the Company to pay the December 2022 to October 2023 monthly amortization payments on the Original Notes. The November 2023 amortization payment of $200 principal was paid, and the amortization payment for December 2023 to May 2024 was waived. The amortization period resumed on June 1, 2024.</w:t>
      </w:r>
    </w:p>
    <w:p>
      <w:pPr>
        <w:spacing w:after="0" w:line="162" w:lineRule="exact"/>
        <w:rPr>
          <w:sz w:val="20"/>
          <w:szCs w:val="20"/>
          <w:color w:val="auto"/>
        </w:rPr>
      </w:pPr>
    </w:p>
    <w:p>
      <w:pPr>
        <w:ind w:left="580" w:right="20" w:hanging="295"/>
        <w:spacing w:after="0" w:line="283" w:lineRule="auto"/>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time of issuance of the Original Notes, the Company also granted the investors an option to purchase up to an additional $12,000 aggregate principal amount of “Option Notes”. At December 31, 2023, the principal balance of the Option Notes was $4,050.</w:t>
      </w:r>
    </w:p>
    <w:p>
      <w:pPr>
        <w:spacing w:after="0" w:line="143" w:lineRule="exact"/>
        <w:rPr>
          <w:rFonts w:ascii="Times New Roman" w:cs="Times New Roman" w:eastAsia="Times New Roman" w:hAnsi="Times New Roman"/>
          <w:sz w:val="16"/>
          <w:szCs w:val="16"/>
          <w:color w:val="auto"/>
        </w:rPr>
      </w:pPr>
    </w:p>
    <w:p>
      <w:pPr>
        <w:jc w:val="both"/>
        <w:ind w:left="580" w:right="2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1, 2024, the Company entered into an Option Exercise and Nineth Amendment (“Exercise and Amendment Agreement”) to the Notes with Whitebox. Pursuant to the Exercise and Amendment Agreement, holders of the Original Notes exercised an option to purchase an aggregate of approximately $6,504 Option Notes, which consisted of (i) an exchange of $4,050 of existing notes, (ii) additional cash proceeds to the Company of $1,400, and (iii) an additional finance cost of $1,054 The Option Notes mature on the earlier of December 15, 2024, and ninety one days before the schedule maturity of any unsecured indebtedness incurred by the Company that is junior in right of payment to its Note obligations. The Option Notes bear interest in arrears on the outstanding principal amount at a rate of 11.13% per annum, payable in cash. The Option Notes may be prepaid without premium or penalty. Unless $1,400 of the principal amount is prepaid, payment of any Option Note on the maturity date (or due to an acceleration (whether declared or automatic)) shall be accompanied by an additional amount (such amount, the “MOIC Deficiency Amount”), if any, sufficient to achieve a 1.13:1.00 multiple of invested capital since August 1, 2024 (the “MOIC”) on the aggregate principal amount of the Option Notes being paid. The MOIC Deficiency Amount shall be calculated based on (i) the sum of all fees, original issue discount, interest, premiums, principal and other payments received in cash by the applicable holders in respect of the Option Notes since August 1, 2024 (excluding any reimbursement of out-of-pocket costs or expenses reimbursed and any indemnification payments made to the applicable Holders in respect of the Option Notes), as the numerator, and (ii) the aggregate principal amount of the Option Notes on August 1, 2024, as the denominator.</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4" w:name="page15"/>
    <w:bookmarkEnd w:id="14"/>
    <w:p>
      <w:pPr>
        <w:jc w:val="both"/>
        <w:ind w:left="580" w:right="20"/>
        <w:spacing w:after="0" w:line="267" w:lineRule="auto"/>
        <w:rPr>
          <w:sz w:val="20"/>
          <w:szCs w:val="20"/>
          <w:color w:val="auto"/>
        </w:rPr>
      </w:pPr>
      <w:r>
        <w:rPr>
          <w:rFonts w:ascii="Times New Roman" w:cs="Times New Roman" w:eastAsia="Times New Roman" w:hAnsi="Times New Roman"/>
          <w:sz w:val="16"/>
          <w:szCs w:val="16"/>
          <w:color w:val="auto"/>
        </w:rPr>
        <w:t>Pursuant to the Exercise and Amendment Agreement, Whitebox temporarily waived the specified events of default under the Notes and temporarily waived any requirement that the Company conduct a repurchase of Original Notes in the event of a Make-Whole Fundamental Change (as defined in the Original Notes), subject to the terms and conditions therein.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Waiver of Default</w:t>
      </w: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On August 1, 2024, the Whitebox waived the specified events of default under the Original Notes and Option Notes (collectively referred to herein as the “Notes”) and temporarily waived any requirement that the Company conduct a repurchase of Original Notes in the event of a Make-Whole Fundamental Change (as defined in the Original Notes) through December 15, 2024 (See Note 13).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Accrued Interest</w:t>
      </w:r>
    </w:p>
    <w:p>
      <w:pPr>
        <w:spacing w:after="0" w:line="20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At December 31, 2023, the balance of accrued interest was $3,883. During the period ended September 30, 2024, the Company recorded interest of $3,141, made up of $1,832 of interest on the Notes, and $1,309 related to the excess ABL fees and made payments of $514 towards accrued interest and $1,054 was added to the principal of the Option Notes. At September 30, 2024, the balance of accrued interest was $5,456.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Discount</w:t>
      </w:r>
    </w:p>
    <w:p>
      <w:pPr>
        <w:spacing w:after="0" w:line="20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At December 31, 2023, the unamortized debt discount was $572. During the period ended September 30, 2024, the Company incurred $335 of costs for the aforementioned waivers. These costs have been capitalized and are being amortized over the term of the Notes or waiver period. For the nine months ended September 30, 2024, amortization of debt discount was $448, and as of September 30, 2024, the remaining unamortized debt discount balance is $459.</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Leases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nine months ended September 30, 2024 and 2023, lease costs totaled $89 and $67, respectively.</w:t>
      </w:r>
    </w:p>
    <w:p>
      <w:pPr>
        <w:spacing w:after="0" w:line="20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As of December 31, 2023, operating lease liabilities totaled $207. During the nine months ended September 30, 2024, the Company made payments of $160 towards its operating lease liability. As of September 30, 2024, operating lease liabilities totaled $47.</w:t>
      </w:r>
    </w:p>
    <w:p>
      <w:pPr>
        <w:spacing w:after="0" w:line="14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As of September 30, 2024, the weighted average remaining lease terms for an operating lease are 0.25 years. As of September 30, 2024, the weighted average discount rate on the operating lease is 12.60%.</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May 10 2024, the Company entered into a new lease with Merritt 7 Ventures LLC, for commercial office space for its corporate headquarters. The lease has an 11-year term and is expected to commence in December 2024. Aggregate monthly base rent for the first year of the lease shall be $8,590. Base rent shall increase incrementally on an annual basis by approximately 3.6%. Customary tax and electricity rent assessments in addition to base rent are payable. In year one, the aggregate of these charges is $7,409 per month. Total payments over the life of the lease are expected to be $2,129.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8. Issuance of Common Stock</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During the first quarter of 2024, the Company received $4,097 in gross proceeds from three significant stockholders of the Company, D&amp;D Source of Life Holding LTD (“D&amp;D”) and Union Square Park Partners LP, and John J. Bello, the Company’s former Chairman, pursuant to Simple Agreements for Future Equity (“SAFE”) investments. The SAFE investments were to convert into the next equity financing of Reed’s on the same terms and conditions as investors in Reed’s next equity financing at the lesser of $1.50 per share or the per share price in the financing. D&amp;D was given the right to designate a second independent director nominee to the board of directors of Reed’s and the company agreed to limit the size of its board of directors to nine (9) for so long as D&amp;D owns 25% or more of the equity securities of the Company. The Company initially recorded the SAFE investments as a liability at $5,490 which was reflected on its June 30, 2024 balance sheet, and reflected a loss from change in fair value of SAFE investments of $1,393.</w:t>
      </w:r>
    </w:p>
    <w:p>
      <w:pPr>
        <w:spacing w:after="0" w:line="16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On September 9, 2024, the Company entered into a Securities Purchase Agreement with various purchasers for the issuance of 4,000,000 common shares for total consideration of $6,000. The various purchasers also held the investment in the Company’s SAFEs. As part of the total capital raise, 2,731,205 shares of common stock valued at $4,097 upon conversion of the SAFEs , an additional 1,268,795 common shares were issued to D&amp;D Source of Life Holding Ltd. for consideration of $1,903.</w:t>
      </w:r>
    </w:p>
    <w:p>
      <w:pPr>
        <w:spacing w:after="0" w:line="15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Upon conversion of the SAFE instruments during the three months ended September 30, 2024, the Company recorded a gain from change in fair value of SAFE investments of $1,393.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Stock-Based Compensation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Stock Options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stock option activity during the nine months ended September 30,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92"/>
        </w:trPr>
        <w:tc>
          <w:tcPr>
            <w:tcW w:w="5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Terms</w:t>
            </w:r>
          </w:p>
        </w:tc>
        <w:tc>
          <w:tcPr>
            <w:tcW w:w="16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11"/>
        </w:trPr>
        <w:tc>
          <w:tcPr>
            <w:tcW w:w="518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185"/>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143,000</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45.09</w:t>
            </w:r>
          </w:p>
        </w:tc>
        <w:tc>
          <w:tcPr>
            <w:tcW w:w="3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r>
      <w:tr>
        <w:trPr>
          <w:trHeight w:val="192"/>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Unvested forfeited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forfeited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(9,513)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4"/>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Outstanding at September 30,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128,309</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46.18</w:t>
            </w:r>
          </w:p>
        </w:tc>
        <w:tc>
          <w:tcPr>
            <w:tcW w:w="34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3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6"/>
                <w:szCs w:val="16"/>
                <w:color w:val="auto"/>
              </w:rPr>
            </w:pPr>
          </w:p>
        </w:tc>
      </w:tr>
      <w:tr>
        <w:trPr>
          <w:trHeight w:val="196"/>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Exercisable at September 30,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112,447</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During the nine months ended September 30, 2024 and 2023, the Company recognized $268 and $351 of compensation expense relating to vested stock options. As of September 30, 2024, the aggregate amount of unvested compensation related to stock options was approximately $105 which will be recognized as an expense as the options vest in future periods through March 28, 2027.</w:t>
      </w:r>
    </w:p>
    <w:p>
      <w:pPr>
        <w:spacing w:after="0" w:line="15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As of September 30, 2024, the outstanding and exercisable options have no intrinsic value. The aggregate intrinsic value was calculated as the difference between the closing market price as of September 30, 2024, which was $1.39, and the exercise price of the outstanding stock options.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1"/>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10. Stock Warrants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66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Company’s warrant activity during the nine months ended September 30, 2024, is as follows: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6"/>
                <w:szCs w:val="16"/>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Terms</w:t>
            </w:r>
          </w:p>
        </w:tc>
        <w:tc>
          <w:tcPr>
            <w:tcW w:w="160" w:type="dxa"/>
            <w:vAlign w:val="bottom"/>
          </w:tcPr>
          <w:p>
            <w:pPr>
              <w:spacing w:after="0"/>
              <w:rPr>
                <w:sz w:val="16"/>
                <w:szCs w:val="16"/>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6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1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549,292</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8.77</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September 30, 2024</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549,292</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3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Exercisable at September 30, 2024</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549,292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34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3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As of September 30, 2024, the outstanding and exercisable warrants have no aggregate intrinsic value. The aggregate intrinsic value was calculated as the difference between the closing market price as of September 30, 2024, which was $1.39, and the exercise price of the Company’s warrants to purchase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Transactions with California Custom Beverage, LLC, former related party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December 2018, the Company signed a co-packing agreement with California Custom Beverage, LLC’s (“CCB”), an entity owned by Christopher J. Reed, a former related party, pursuant to which CCB agreed to produce certain products for the Company for agreed fees. The co-packing agreement, as amended, includes certain provisions for product inputs, shrinkage, and quality assurance. Also beginning in 2019, CCB agreed to pay the Company a 5% royalty through 2021 on certain private label sales made by CCB.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September 30, 2024 and 2023, accounts receivable due from and accounts payable due to CCB were as follows:</w:t>
      </w:r>
    </w:p>
    <w:p>
      <w:pPr>
        <w:sectPr>
          <w:pgSz w:w="11900" w:h="16838" w:orient="portrait"/>
          <w:cols w:equalWidth="0" w:num="1">
            <w:col w:w="11260"/>
          </w:cols>
          <w:pgMar w:left="320" w:top="602" w:right="31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Accounts receivable, net of provision of $1,123 and $1,123 at September 30, 2024 and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7560" cy="244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7560" cy="24447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2023, respectively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Accounts payable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(payable)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147560" cy="129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7560" cy="129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9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1"/>
        </w:trPr>
        <w:tc>
          <w:tcPr>
            <w:tcW w:w="192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8"/>
                <w:szCs w:val="18"/>
                <w:color w:val="auto"/>
              </w:rPr>
            </w:pPr>
          </w:p>
        </w:tc>
        <w:tc>
          <w:tcPr>
            <w:tcW w:w="190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r>
      <w:tr>
        <w:trPr>
          <w:trHeight w:val="348"/>
        </w:trPr>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259</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Pr>
          <w:p>
            <w:pPr>
              <w:spacing w:after="0"/>
              <w:rPr>
                <w:sz w:val="24"/>
                <w:szCs w:val="24"/>
                <w:color w:val="auto"/>
              </w:rPr>
            </w:pPr>
          </w:p>
        </w:tc>
      </w:tr>
      <w:tr>
        <w:trPr>
          <w:trHeight w:val="221"/>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(211)</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184"/>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40" w:type="dxa"/>
            <w:vAlign w:val="bottom"/>
          </w:tcPr>
          <w:p>
            <w:pPr>
              <w:spacing w:after="0"/>
              <w:rPr>
                <w:sz w:val="16"/>
                <w:szCs w:val="16"/>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bl>
    <w:p>
      <w:pPr>
        <w:spacing w:after="0" w:line="176" w:lineRule="exact"/>
        <w:rPr>
          <w:sz w:val="20"/>
          <w:szCs w:val="20"/>
          <w:color w:val="auto"/>
        </w:rPr>
      </w:pPr>
    </w:p>
    <w:p>
      <w:pPr>
        <w:sectPr>
          <w:pgSz w:w="11900" w:h="16838" w:orient="portrait"/>
          <w:cols w:equalWidth="0" w:num="2">
            <w:col w:w="6500" w:space="480"/>
            <w:col w:w="4280"/>
          </w:cols>
          <w:pgMar w:left="320" w:top="602" w:right="319" w:bottom="1440" w:gutter="0" w:footer="0" w:header="0"/>
          <w:type w:val="continuous"/>
        </w:sect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In addition, on April 19, 2023, the Company received a letter from CCB demanding payment of various amounts, including the $452 and $452 outstanding at September 30, 2024 and December 31, 2023, respectively. The Company has determined that the probability of realizing any loss on the demand from CCB is remote and therefore has not recorded any additional accruals related to the demand.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Commitments and Contingencies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2023, the firm engaged an investment bank to explore financing options for the Company. We have a maximum obligation of $1.2M in fees so far in this engagement.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fees will be recognized on a success basis and will be paid out only if a transaction is finalized.</w:t>
      </w:r>
    </w:p>
    <w:p>
      <w:pPr>
        <w:spacing w:after="0" w:line="18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In 2018, CCB assumed the monthly payments on our lease obligation for a Los Angeles manufacturing plant for payments through September 2024, and our release from the obligation by the lessor, however, is dependent upon CCB’s deposit of $1,200 of security with the lessor. As of September 30, 2024, $800 has been deposited with the lessor and Chris J. Reed has placed approximately 7,260 shares of the Company’s common stock valued at $10 that remain in escrow with the lessor.</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type w:val="continuous"/>
        </w:sectPr>
      </w:pPr>
    </w:p>
    <w:bookmarkStart w:id="17" w:name="page18"/>
    <w:bookmarkEnd w:id="17"/>
    <w:p>
      <w:pPr>
        <w:ind w:left="4" w:right="20"/>
        <w:spacing w:after="0" w:line="283" w:lineRule="auto"/>
        <w:rPr>
          <w:sz w:val="20"/>
          <w:szCs w:val="20"/>
          <w:color w:val="auto"/>
        </w:rPr>
      </w:pPr>
      <w:r>
        <w:rPr>
          <w:rFonts w:ascii="Times New Roman" w:cs="Times New Roman" w:eastAsia="Times New Roman" w:hAnsi="Times New Roman"/>
          <w:sz w:val="16"/>
          <w:szCs w:val="16"/>
          <w:color w:val="auto"/>
        </w:rPr>
        <w:t>We are, and from time to time, we be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spacing w:after="0" w:line="143" w:lineRule="exact"/>
        <w:rPr>
          <w:sz w:val="20"/>
          <w:szCs w:val="20"/>
          <w:color w:val="auto"/>
        </w:rPr>
      </w:pPr>
    </w:p>
    <w:p>
      <w:pPr>
        <w:ind w:left="4"/>
        <w:spacing w:after="0" w:line="283" w:lineRule="auto"/>
        <w:rPr>
          <w:sz w:val="20"/>
          <w:szCs w:val="20"/>
          <w:color w:val="auto"/>
        </w:rPr>
      </w:pPr>
      <w:r>
        <w:rPr>
          <w:rFonts w:ascii="Times New Roman" w:cs="Times New Roman" w:eastAsia="Times New Roman" w:hAnsi="Times New Roman"/>
          <w:sz w:val="16"/>
          <w:szCs w:val="16"/>
          <w:color w:val="auto"/>
        </w:rPr>
        <w:t>We believe that there are no material litigation matters at the current time. Although the result of such litigation matters and claims cannot be predicted with certainty, we believe that the final outcome of such claims and proceedings will not have a material adverse impact on our financial position, liquidity, or results of operations.</w:t>
      </w:r>
    </w:p>
    <w:p>
      <w:pPr>
        <w:spacing w:after="0" w:line="141" w:lineRule="exact"/>
        <w:rPr>
          <w:sz w:val="20"/>
          <w:szCs w:val="20"/>
          <w:color w:val="auto"/>
        </w:rPr>
      </w:pPr>
    </w:p>
    <w:p>
      <w:pPr>
        <w:ind w:left="244" w:hanging="244"/>
        <w:spacing w:after="0"/>
        <w:tabs>
          <w:tab w:leader="none" w:pos="244"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Subsequent Events</w:t>
      </w:r>
    </w:p>
    <w:p>
      <w:pPr>
        <w:spacing w:after="0" w:line="202" w:lineRule="exact"/>
        <w:rPr>
          <w:rFonts w:ascii="Times New Roman" w:cs="Times New Roman" w:eastAsia="Times New Roman" w:hAnsi="Times New Roman"/>
          <w:sz w:val="16"/>
          <w:szCs w:val="16"/>
          <w:b w:val="1"/>
          <w:bCs w:val="1"/>
          <w:color w:val="auto"/>
        </w:rPr>
      </w:pPr>
    </w:p>
    <w:p>
      <w:pPr>
        <w:ind w:left="584" w:hanging="295"/>
        <w:spacing w:after="0"/>
        <w:tabs>
          <w:tab w:leader="none" w:pos="584"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Convertible notes</w:t>
      </w:r>
    </w:p>
    <w:p>
      <w:pPr>
        <w:spacing w:after="0" w:line="201"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6"/>
          <w:szCs w:val="16"/>
          <w:color w:val="auto"/>
        </w:rPr>
        <w:t>On October 10, 2024, Whitebox sold and assigned its entire interest in eight secured promissory notes (the “Notes”) (Note 6) of the Company to the Company’s majority stockholder, D&amp;D. The Notes contain customary affirmative and negative covenants and events of default. The Notes were secured by substantially all of the Company’s assets, including all intellectual property.</w:t>
      </w:r>
    </w:p>
    <w:p>
      <w:pPr>
        <w:spacing w:after="0" w:line="156"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6"/>
          <w:szCs w:val="16"/>
          <w:color w:val="auto"/>
        </w:rPr>
        <w:t>On November 14, 2024, the Company entered into a new secured one-year term loan with a principal amount of $10 million with Whitebox. The loan bears interest of 8% which is payable quarterly. The term loan is secured by substantially all of the Company’s assets, including all intellectual property. The Company used part of the proceeds to pay off and close its existing revolving line of credit (Note 5).</w:t>
      </w:r>
    </w:p>
    <w:p>
      <w:pPr>
        <w:spacing w:after="0" w:line="156"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6"/>
          <w:szCs w:val="16"/>
          <w:color w:val="auto"/>
        </w:rPr>
        <w:t>On November 14, 2024, in conjunction with the term loan transaction, D&amp;D and the Company amended the Notes. D&amp;D released all collateral under the Notes, deferred cash payments thereunder and extended the maturity dates of all of the Notes to 181 days after the maturity of the revolving credit facility, which is November 14, 2025 (with the maturity dates of the notes extended to May 14, 2026).</w:t>
      </w:r>
    </w:p>
    <w:p>
      <w:pPr>
        <w:spacing w:after="0" w:line="156" w:lineRule="exact"/>
        <w:rPr>
          <w:sz w:val="20"/>
          <w:szCs w:val="20"/>
          <w:color w:val="auto"/>
        </w:rPr>
      </w:pPr>
    </w:p>
    <w:p>
      <w:pPr>
        <w:ind w:left="284"/>
        <w:spacing w:after="0"/>
        <w:tabs>
          <w:tab w:leader="none" w:pos="563" w:val="left"/>
        </w:tabs>
        <w:rPr>
          <w:sz w:val="20"/>
          <w:szCs w:val="20"/>
          <w:color w:val="auto"/>
        </w:rPr>
      </w:pPr>
      <w:r>
        <w:rPr>
          <w:rFonts w:ascii="Times New Roman" w:cs="Times New Roman" w:eastAsia="Times New Roman" w:hAnsi="Times New Roman"/>
          <w:sz w:val="16"/>
          <w:szCs w:val="16"/>
          <w:color w:val="auto"/>
        </w:rPr>
        <w:t>b)</w:t>
      </w:r>
      <w:r>
        <w:rPr>
          <w:sz w:val="20"/>
          <w:szCs w:val="20"/>
          <w:color w:val="auto"/>
        </w:rPr>
        <w:tab/>
      </w:r>
      <w:r>
        <w:rPr>
          <w:rFonts w:ascii="Times New Roman" w:cs="Times New Roman" w:eastAsia="Times New Roman" w:hAnsi="Times New Roman"/>
          <w:sz w:val="15"/>
          <w:szCs w:val="15"/>
          <w:color w:val="auto"/>
        </w:rPr>
        <w:t>Board of Directors</w:t>
      </w:r>
    </w:p>
    <w:p>
      <w:pPr>
        <w:spacing w:after="0" w:line="201"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color w:val="auto"/>
        </w:rPr>
        <w:t>On October 21, 2024, the board of directors of the Company, upon recommendation from its governance committee, appointed Sam Van to serve as a member of its board of directors. Mr. Van is an independent director designee of D&amp;D.</w:t>
      </w:r>
    </w:p>
    <w:p>
      <w:pPr>
        <w:spacing w:after="0" w:line="143"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6"/>
          <w:szCs w:val="16"/>
          <w:color w:val="auto"/>
        </w:rPr>
        <w:t>On October 28, John J. Bello and Louis Imbrogno, Jr. resigned from the board of directors (“board”) of the Company. Prior to resignation, Mr. Bello had served as the Chairman of the board and a member of its operating committee. Mr. Imbrogno had served on the governance committee and audit committee and as chair of the compensation committee</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On October 29, Thomas W. Kosler also resigned from the board. He had served as chair of the audit committee.</w:t>
      </w: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4"/>
          </w:cols>
          <w:pgMar w:left="316" w:top="604"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i w:val="1"/>
          <w:iCs w:val="1"/>
          <w:color w:val="auto"/>
        </w:rPr>
        <w:t>Our discussion and analysis is intended to help the reader understand our results of operations and financial condition and is provided as an addition to, and should be read in connection with, our condensed financial statements and the accompanying notes. Cautionary statements on page [ii] of this report and in “Part I, Item 1A. Risk Factors” of our 2023 Form 10-K as updated by “Part II, Item 1A” of this report, should be considered when evaluating our trends and future results.</w:t>
      </w:r>
    </w:p>
    <w:p>
      <w:pPr>
        <w:spacing w:after="0" w:line="15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i w:val="1"/>
          <w:iCs w:val="1"/>
          <w:color w:val="auto"/>
        </w:rPr>
        <w:t>In addition to our GAAP results, the following discussion includes Modified EBITDA as a supplemental measure of our performance. 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presented in the discussion below are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During the nine months ended September 30, 2024, the Company continued to focus on strengthening its supply chain, implement gross margin enhancement initiatives, drive efficiencies in transportation and warehouse costs and reduce operating expenses. In addition, it continues to build its innovation pipeline with sustained growth in Reed’s Real Ginger Ale, Virgil’s Zero Sugar handcrafted sodas, Reed’s Classic and Stormy Mule, and Reed’s Hard Ginger Ale.</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remains engaged on driving sales growth, improving gross margin, and reducing freight costs. The sales growth focus is on channel expansion, increase in store placements, new product introduction and improved sales execution. The margin enhancement initiative is driven by packaging savings, co-packer upgrades, and better leveraged purchasing and improved efficiency. Underpinning these initiatives is a focus on strategically reducing operating costs particularly delivery and handling expenses. In addition, the Company continues to augment its co-packer network to drive further efficiencies and build proper levels of inventory at the appropriate location to maximize delivery metrics.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Trends – Market Conditions</w:t>
      </w:r>
    </w:p>
    <w:p>
      <w:pPr>
        <w:spacing w:after="0" w:line="20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Although the U.S. economy continued to grow throughout 2023 and into Q3 2024, the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6"/>
          <w:szCs w:val="16"/>
          <w:color w:val="auto"/>
        </w:rPr>
        <w:t>During the three months ending September 30, 2024, the Company continued to experience moderation from the elevated freight costs experienced in 2023. The average cost of shipping and handling for the three months ended September 30, 2024, was $2.99 as compared to $2.98 in the three months ended September 30, 2023. During the nine months ended September 30, 2024, the average cost of shipping and handling was $2.66 per case, as compared to $3.17 per case for the nine months ended September 30, 2023. Although the Company has experienced decreases in freight costs over the last four quarters, in the Company’s opinion there remains a volatile environment and the Company will continue to monitor pricing and availability in transportation. Mitigation plans have been implemented to manage this risk. The Company has been negatively impacted by supply chain challenges affecting our ability to benefit from strong demand for, and increased sales of our product. The disruption caused by labor shortages, significant raw material cost inflation, logistics issues and increased freight costs, and ongoing port congestion, resulted in suppressed margins. The Company has experienced moderation in inflation and anticipates this to continue throughout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 – Three Months Ended September 30, 2024, as compared to Three Months Ended September 30,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key statistics for the three months ended September 30, 2024 and 2023, respectively,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Pct.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36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Change</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billing (A)</w:t>
            </w:r>
          </w:p>
        </w:tc>
        <w:tc>
          <w:tcPr>
            <w:tcW w:w="14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13,219</w:t>
            </w:r>
          </w:p>
        </w:tc>
        <w:tc>
          <w:tcPr>
            <w:tcW w:w="36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Less: Promotional and other allowances (B)</w:t>
            </w: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2,149</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1,363</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4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6,752</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11,856</w:t>
            </w:r>
          </w:p>
        </w:tc>
        <w:tc>
          <w:tcPr>
            <w:tcW w:w="36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goods sold</w:t>
            </w:r>
          </w:p>
        </w:tc>
        <w:tc>
          <w:tcPr>
            <w:tcW w:w="1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5,537</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7,823</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i w:val="1"/>
                <w:iCs w:val="1"/>
                <w:color w:val="auto"/>
              </w:rPr>
              <w:t>% of Gross billing</w:t>
            </w: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62%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59%</w:t>
            </w: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82%</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66%</w:t>
            </w: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14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36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18%</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34%</w:t>
            </w: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w:t>
            </w:r>
          </w:p>
        </w:tc>
        <w:tc>
          <w:tcPr>
            <w:tcW w:w="1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Delivery and handling</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1,279</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1,908</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19%</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16%</w:t>
            </w: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i w:val="1"/>
                <w:iCs w:val="1"/>
                <w:color w:val="auto"/>
              </w:rPr>
              <w:t>Dollar per case ($)</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2.99</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i w:val="1"/>
                <w:iCs w:val="1"/>
                <w:color w:val="auto"/>
              </w:rPr>
              <w:t>$</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i w:val="1"/>
                <w:iCs w:val="1"/>
                <w:color w:val="auto"/>
              </w:rPr>
              <w:t>2.98</w:t>
            </w: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1,283</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861</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7%</w:t>
            </w: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1,791</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1,407</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27%</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12%</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36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4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(3,138)</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(143)</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2,094%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and other income (expense)</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(1,012)</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(1,293)</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4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(4,150)</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(1,436)</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4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per share – basic and diluted</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(0.82)</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(0.34)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4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 &amp; diluted</w:t>
            </w:r>
          </w:p>
        </w:tc>
        <w:tc>
          <w:tcPr>
            <w:tcW w:w="1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5,066,412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4,169,131</w:t>
            </w:r>
          </w:p>
        </w:tc>
        <w:tc>
          <w:tcPr>
            <w:tcW w:w="36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04" w:right="319" w:bottom="1440" w:gutter="0" w:footer="0" w:header="0"/>
        </w:sectPr>
      </w:pPr>
    </w:p>
    <w:bookmarkStart w:id="20" w:name="page21"/>
    <w:bookmarkEnd w:id="20"/>
    <w:p>
      <w:pPr>
        <w:jc w:val="both"/>
        <w:ind w:left="4" w:right="100" w:hanging="4"/>
        <w:spacing w:after="0" w:line="262" w:lineRule="auto"/>
        <w:tabs>
          <w:tab w:leader="none" w:pos="254"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 w:cs="Times New Roman" w:eastAsia="Times New Roman" w:hAnsi="Times New Roman"/>
          <w:sz w:val="16"/>
          <w:szCs w:val="16"/>
          <w:color w:val="auto"/>
        </w:rPr>
        <w:t>.</w:t>
      </w:r>
    </w:p>
    <w:p>
      <w:pPr>
        <w:spacing w:after="0" w:line="158" w:lineRule="exact"/>
        <w:rPr>
          <w:rFonts w:ascii="Times New Roman" w:cs="Times New Roman" w:eastAsia="Times New Roman" w:hAnsi="Times New Roman"/>
          <w:sz w:val="16"/>
          <w:szCs w:val="16"/>
          <w:i w:val="1"/>
          <w:iCs w:val="1"/>
          <w:color w:val="auto"/>
        </w:rPr>
      </w:pPr>
    </w:p>
    <w:p>
      <w:pPr>
        <w:jc w:val="both"/>
        <w:ind w:left="4" w:right="80" w:hanging="4"/>
        <w:spacing w:after="0" w:line="253" w:lineRule="auto"/>
        <w:tabs>
          <w:tab w:leader="none" w:pos="253"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Sales, Cost of Sales, and Gross Margins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following chart sets forth key statistics for the transition of the Company’s top line activity from the third quarter of 2023 through the third quarter of 2024.</w:t>
      </w:r>
    </w:p>
    <w:p>
      <w:pPr>
        <w:spacing w:after="0" w:line="199"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Sept YTD</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YTD</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Q3 Per Case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Per Case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b w:val="1"/>
                <w:bCs w:val="1"/>
                <w:color w:val="auto"/>
              </w:rPr>
              <w:t>Q3</w:t>
            </w:r>
          </w:p>
        </w:tc>
        <w:tc>
          <w:tcPr>
            <w:tcW w:w="2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vs</w:t>
            </w:r>
          </w:p>
        </w:tc>
        <w:tc>
          <w:tcPr>
            <w:tcW w:w="6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vs</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vs</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vs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Q1</w:t>
            </w:r>
          </w:p>
        </w:tc>
        <w:tc>
          <w:tcPr>
            <w:tcW w:w="8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Q2</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Q3</w:t>
            </w:r>
          </w:p>
        </w:tc>
        <w:tc>
          <w:tcPr>
            <w:tcW w:w="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YTD</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PY</w:t>
            </w:r>
          </w:p>
        </w:tc>
        <w:tc>
          <w:tcPr>
            <w:tcW w:w="6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PY</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Q1</w:t>
            </w:r>
          </w:p>
        </w:tc>
        <w:tc>
          <w:tcPr>
            <w:tcW w:w="100" w:type="dxa"/>
            <w:vAlign w:val="bottom"/>
          </w:tcPr>
          <w:p>
            <w:pPr>
              <w:spacing w:after="0"/>
              <w:rPr>
                <w:sz w:val="18"/>
                <w:szCs w:val="18"/>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Q2</w:t>
            </w:r>
          </w:p>
        </w:tc>
        <w:tc>
          <w:tcPr>
            <w:tcW w:w="8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Q3</w:t>
            </w:r>
          </w:p>
        </w:tc>
        <w:tc>
          <w:tcPr>
            <w:tcW w:w="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YTD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PY</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PY</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Cases:</w:t>
            </w:r>
          </w:p>
        </w:tc>
        <w:tc>
          <w:tcPr>
            <w:tcW w:w="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Reed’s</w:t>
            </w:r>
          </w:p>
        </w:tc>
        <w:tc>
          <w:tcPr>
            <w:tcW w:w="8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413</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1,014</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402</w:t>
            </w:r>
          </w:p>
        </w:tc>
        <w:tc>
          <w:tcPr>
            <w:tcW w:w="8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1,127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Virgil’s</w:t>
            </w: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239</w:t>
            </w: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565</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676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vMerge w:val="restart"/>
          </w:tcPr>
          <w:p>
            <w:pPr>
              <w:ind w:left="740"/>
              <w:spacing w:after="0" w:line="176"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499</w:t>
            </w:r>
          </w:p>
        </w:tc>
        <w:tc>
          <w:tcPr>
            <w:tcW w:w="80" w:type="dxa"/>
            <w:vAlign w:val="bottom"/>
          </w:tcPr>
          <w:p>
            <w:pPr>
              <w:spacing w:after="0"/>
              <w:rPr>
                <w:sz w:val="13"/>
                <w:szCs w:val="13"/>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652</w:t>
            </w: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428</w:t>
            </w:r>
          </w:p>
        </w:tc>
        <w:tc>
          <w:tcPr>
            <w:tcW w:w="80" w:type="dxa"/>
            <w:vAlign w:val="bottom"/>
          </w:tcPr>
          <w:p>
            <w:pPr>
              <w:spacing w:after="0"/>
              <w:rPr>
                <w:sz w:val="13"/>
                <w:szCs w:val="13"/>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1,579</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-33%</w:t>
            </w: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w:t>
            </w:r>
          </w:p>
        </w:tc>
        <w:tc>
          <w:tcPr>
            <w:tcW w:w="100" w:type="dxa"/>
            <w:vAlign w:val="bottom"/>
          </w:tcPr>
          <w:p>
            <w:pPr>
              <w:spacing w:after="0"/>
              <w:rPr>
                <w:sz w:val="13"/>
                <w:szCs w:val="13"/>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611</w:t>
            </w:r>
          </w:p>
        </w:tc>
        <w:tc>
          <w:tcPr>
            <w:tcW w:w="100" w:type="dxa"/>
            <w:vAlign w:val="bottom"/>
          </w:tcPr>
          <w:p>
            <w:pPr>
              <w:spacing w:after="0"/>
              <w:rPr>
                <w:sz w:val="13"/>
                <w:szCs w:val="13"/>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552</w:t>
            </w:r>
          </w:p>
        </w:tc>
        <w:tc>
          <w:tcPr>
            <w:tcW w:w="80" w:type="dxa"/>
            <w:vAlign w:val="bottom"/>
          </w:tcPr>
          <w:p>
            <w:pPr>
              <w:spacing w:after="0"/>
              <w:rPr>
                <w:sz w:val="13"/>
                <w:szCs w:val="13"/>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640</w:t>
            </w:r>
          </w:p>
        </w:tc>
        <w:tc>
          <w:tcPr>
            <w:tcW w:w="80" w:type="dxa"/>
            <w:vAlign w:val="bottom"/>
          </w:tcPr>
          <w:p>
            <w:pPr>
              <w:spacing w:after="0"/>
              <w:rPr>
                <w:sz w:val="13"/>
                <w:szCs w:val="13"/>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1,803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Core</w:t>
            </w: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ind w:left="740"/>
              <w:spacing w:after="0" w:line="176" w:lineRule="exact"/>
              <w:rPr>
                <w:sz w:val="20"/>
                <w:szCs w:val="20"/>
                <w:color w:val="auto"/>
              </w:rPr>
            </w:pPr>
            <w:r>
              <w:rPr>
                <w:rFonts w:ascii="Times New Roman" w:cs="Times New Roman" w:eastAsia="Times New Roman" w:hAnsi="Times New Roman"/>
                <w:sz w:val="16"/>
                <w:szCs w:val="16"/>
                <w:color w:val="auto"/>
              </w:rPr>
              <w:t>Non</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Core</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499</w:t>
            </w:r>
          </w:p>
        </w:tc>
        <w:tc>
          <w:tcPr>
            <w:tcW w:w="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652</w:t>
            </w:r>
          </w:p>
        </w:tc>
        <w:tc>
          <w:tcPr>
            <w:tcW w:w="200" w:type="dxa"/>
            <w:vAlign w:val="bottom"/>
            <w:vMerge w:val="continue"/>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428</w:t>
            </w:r>
          </w:p>
        </w:tc>
        <w:tc>
          <w:tcPr>
            <w:tcW w:w="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1,579</w:t>
            </w:r>
          </w:p>
        </w:tc>
        <w:tc>
          <w:tcPr>
            <w:tcW w:w="200" w:type="dxa"/>
            <w:vAlign w:val="bottom"/>
            <w:vMerge w:val="continue"/>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-33%</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613</w:t>
            </w:r>
          </w:p>
        </w:tc>
        <w:tc>
          <w:tcPr>
            <w:tcW w:w="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552</w:t>
            </w:r>
          </w:p>
        </w:tc>
        <w:tc>
          <w:tcPr>
            <w:tcW w:w="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640</w:t>
            </w:r>
          </w:p>
        </w:tc>
        <w:tc>
          <w:tcPr>
            <w:tcW w:w="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1,805</w:t>
            </w:r>
          </w:p>
        </w:tc>
        <w:tc>
          <w:tcPr>
            <w:tcW w:w="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280" w:type="dxa"/>
            <w:vAlign w:val="bottom"/>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Gross</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Billing:</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Core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5"/>
              </w:rPr>
              <w:t>10,377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5"/>
              </w:rPr>
              <w:t>13,584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$ 8,901</w:t>
            </w: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32,862</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5"/>
              </w:rPr>
              <w:t>12,333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11,095</w:t>
            </w: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5"/>
              </w:rPr>
              <w:t>13,197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36,626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20.6</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20.3</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ind w:left="740"/>
              <w:spacing w:after="0" w:line="176" w:lineRule="exact"/>
              <w:rPr>
                <w:sz w:val="20"/>
                <w:szCs w:val="20"/>
                <w:color w:val="auto"/>
              </w:rPr>
            </w:pPr>
            <w:r>
              <w:rPr>
                <w:rFonts w:ascii="Times New Roman" w:cs="Times New Roman" w:eastAsia="Times New Roman" w:hAnsi="Times New Roman"/>
                <w:sz w:val="16"/>
                <w:szCs w:val="16"/>
                <w:color w:val="auto"/>
              </w:rPr>
              <w:t>Non</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Core</w:t>
            </w: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10,379</w:t>
            </w:r>
          </w:p>
        </w:tc>
        <w:tc>
          <w:tcPr>
            <w:tcW w:w="200" w:type="dxa"/>
            <w:vAlign w:val="bottom"/>
            <w:tcBorders>
              <w:right w:val="single" w:sz="8" w:color="CCEEFF"/>
            </w:tcBorders>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13,584</w:t>
            </w:r>
          </w:p>
        </w:tc>
        <w:tc>
          <w:tcPr>
            <w:tcW w:w="20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$ 8,904</w:t>
            </w: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32,864</w:t>
            </w:r>
          </w:p>
        </w:tc>
        <w:tc>
          <w:tcPr>
            <w:tcW w:w="200" w:type="dxa"/>
            <w:vAlign w:val="bottom"/>
            <w:vMerge w:val="continue"/>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-33%</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12,453</w:t>
            </w:r>
          </w:p>
        </w:tc>
        <w:tc>
          <w:tcPr>
            <w:tcW w:w="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11,164</w:t>
            </w:r>
          </w:p>
        </w:tc>
        <w:tc>
          <w:tcPr>
            <w:tcW w:w="200" w:type="dxa"/>
            <w:vAlign w:val="bottom"/>
            <w:tcBorders>
              <w:right w:val="single" w:sz="8" w:color="CCEEFF"/>
            </w:tcBorders>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13,219</w:t>
            </w:r>
          </w:p>
        </w:tc>
        <w:tc>
          <w:tcPr>
            <w:tcW w:w="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36,837</w:t>
            </w:r>
          </w:p>
        </w:tc>
        <w:tc>
          <w:tcPr>
            <w:tcW w:w="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w:t>
            </w:r>
          </w:p>
        </w:tc>
        <w:tc>
          <w:tcPr>
            <w:tcW w:w="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w:t>
            </w:r>
          </w:p>
        </w:tc>
        <w:tc>
          <w:tcPr>
            <w:tcW w:w="120" w:type="dxa"/>
            <w:vAlign w:val="bottom"/>
            <w:vMerge w:val="continue"/>
            <w:shd w:val="clear" w:color="auto" w:fill="CCEEFF"/>
          </w:tcPr>
          <w:p>
            <w:pPr>
              <w:spacing w:after="0"/>
              <w:rPr>
                <w:sz w:val="16"/>
                <w:szCs w:val="16"/>
                <w:color w:val="auto"/>
              </w:rPr>
            </w:pPr>
          </w:p>
        </w:tc>
        <w:tc>
          <w:tcPr>
            <w:tcW w:w="5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w:t>
            </w:r>
          </w:p>
        </w:tc>
        <w:tc>
          <w:tcPr>
            <w:tcW w:w="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w:t>
            </w:r>
          </w:p>
        </w:tc>
        <w:tc>
          <w:tcPr>
            <w:tcW w:w="120" w:type="dxa"/>
            <w:vAlign w:val="bottom"/>
            <w:vMerge w:val="continue"/>
            <w:shd w:val="clear" w:color="auto" w:fill="CCEEFF"/>
          </w:tcPr>
          <w:p>
            <w:pPr>
              <w:spacing w:after="0"/>
              <w:rPr>
                <w:sz w:val="16"/>
                <w:szCs w:val="16"/>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Discounts: 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(784)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(1,710)</w:t>
            </w: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shd w:val="clear" w:color="auto" w:fill="CCEEFF"/>
              </w:rPr>
              <w:t>$(2,149)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(4,643)</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58%</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22% $</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(1,296)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(1,159)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(1,363)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(3,819)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(2.1)</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136% $</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(2.1)</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shd w:val="clear" w:color="auto" w:fill="CCEEFF"/>
              </w:rPr>
              <w:t>39%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COGS:</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Core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(6,182)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(8,043)</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8"/>
              </w:rPr>
              <w:t>$(5,537)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8"/>
              </w:rPr>
              <w:t>(19,762)</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(8,422)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(7,408)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(7,820)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8"/>
              </w:rPr>
              <w:t>(23,650)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3"/>
              </w:rPr>
              <w:t>(12.9)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8"/>
              </w:rPr>
              <w:t>(12.2)</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(12.5)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8"/>
              </w:rPr>
              <w:t>(13.1)</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ind w:left="740"/>
              <w:spacing w:after="0" w:line="176" w:lineRule="exact"/>
              <w:rPr>
                <w:sz w:val="20"/>
                <w:szCs w:val="20"/>
                <w:color w:val="auto"/>
              </w:rPr>
            </w:pPr>
            <w:r>
              <w:rPr>
                <w:rFonts w:ascii="Times New Roman" w:cs="Times New Roman" w:eastAsia="Times New Roman" w:hAnsi="Times New Roman"/>
                <w:sz w:val="16"/>
                <w:szCs w:val="16"/>
                <w:color w:val="auto"/>
              </w:rPr>
              <w:t>Non</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Core</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9"/>
              </w:rPr>
              <w:t>(6,182)</w:t>
            </w:r>
          </w:p>
        </w:tc>
        <w:tc>
          <w:tcPr>
            <w:tcW w:w="2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9"/>
              </w:rPr>
              <w:t>(8,043)</w:t>
            </w:r>
          </w:p>
        </w:tc>
        <w:tc>
          <w:tcPr>
            <w:tcW w:w="200" w:type="dxa"/>
            <w:vAlign w:val="bottom"/>
            <w:vMerge w:val="continue"/>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$(5,530)</w:t>
            </w:r>
          </w:p>
        </w:tc>
        <w:tc>
          <w:tcPr>
            <w:tcW w:w="2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(19,762)</w:t>
            </w:r>
          </w:p>
        </w:tc>
        <w:tc>
          <w:tcPr>
            <w:tcW w:w="200" w:type="dxa"/>
            <w:vAlign w:val="bottom"/>
            <w:vMerge w:val="continue"/>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-29%</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9"/>
              </w:rPr>
              <w:t>(8,459)</w:t>
            </w:r>
          </w:p>
        </w:tc>
        <w:tc>
          <w:tcPr>
            <w:tcW w:w="18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9"/>
              </w:rPr>
              <w:t>(7,496)</w:t>
            </w:r>
          </w:p>
        </w:tc>
        <w:tc>
          <w:tcPr>
            <w:tcW w:w="2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9"/>
              </w:rPr>
              <w:t>(7,823)</w:t>
            </w:r>
          </w:p>
        </w:tc>
        <w:tc>
          <w:tcPr>
            <w:tcW w:w="2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(23,778)</w:t>
            </w:r>
          </w:p>
        </w:tc>
        <w:tc>
          <w:tcPr>
            <w:tcW w:w="2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2"/>
              </w:rPr>
              <w:t>(12.9)</w:t>
            </w:r>
          </w:p>
        </w:tc>
        <w:tc>
          <w:tcPr>
            <w:tcW w:w="1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2"/>
              </w:rPr>
              <w:t>(12.2)</w:t>
            </w:r>
          </w:p>
        </w:tc>
        <w:tc>
          <w:tcPr>
            <w:tcW w:w="120" w:type="dxa"/>
            <w:vAlign w:val="bottom"/>
            <w:vMerge w:val="continue"/>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2"/>
              </w:rPr>
              <w:t>(12.5)</w:t>
            </w:r>
          </w:p>
        </w:tc>
        <w:tc>
          <w:tcPr>
            <w:tcW w:w="1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2"/>
              </w:rPr>
              <w:t>(13.2)</w:t>
            </w:r>
          </w:p>
        </w:tc>
        <w:tc>
          <w:tcPr>
            <w:tcW w:w="120" w:type="dxa"/>
            <w:vAlign w:val="bottom"/>
            <w:vMerge w:val="continue"/>
          </w:tcPr>
          <w:p>
            <w:pPr>
              <w:spacing w:after="0"/>
              <w:rPr>
                <w:sz w:val="16"/>
                <w:szCs w:val="16"/>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280" w:type="dxa"/>
            <w:vAlign w:val="bottom"/>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Gross</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3,413</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3,831</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$ 1,215</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8,459</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-70%</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7% $</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2,698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2,509</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4,033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9,240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6.3</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-55% $</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5.1</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as % Net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Sales</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c>
          <w:tcPr>
            <w:tcW w:w="7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4"/>
          </w:cols>
          <w:pgMar w:left="316" w:top="602"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color w:val="auto"/>
        </w:rPr>
        <w:t>Sales, Cost of Sales, and Gross Margins</w:t>
      </w:r>
    </w:p>
    <w:p>
      <w:pPr>
        <w:spacing w:after="0" w:line="20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Core beverage volume for the three months ended September 30, 2024, represents 100% of all beverage volume.</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Core brand gross billing decreased by 33% to $8,901 compared to $13,197 during the same period last year, driven by a Reed’s volume decrease of 37% and Virgil’s volume decrease of 26%. The result is a decrease in total gross billing of 33%, to $8,901 during the three months ended September 30, 2023, from $13,219 in the same period last year. Prices on our core brands increased 1% to $20.79 per case. The lower gross billings was a result of volume declines that have impacted the carbonated soft drink segment as a result of price increases coupled with the Company’s inability to produce sufficient levels of inventory to meet current demand as a result of tighter credit terms from suppliers.</w:t>
      </w:r>
    </w:p>
    <w:p>
      <w:pPr>
        <w:spacing w:after="0" w:line="35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Discounts as a percentage of gross sales was 24% compared to 10% in the same period last year. As a result, net sales revenue decreased 43% in the three months ended September 30, 2024, to $6,752, compared to $11,856 in the same period last year driven by lower sales and elevated trade spend.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 of Goods Sold</w:t>
      </w: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Cost of goods sold decreased $2,286 during the three months ended September 30, 2024, as compared to the same period last year. As a percentage of net sales, cost of goods sold for the three months ended September 30, 2024, was 82% as compared to 66% for the same period last year. The decline as a percentage of net sales, was driven by elevated trade spend, partially offset by lower supply chain and input costs.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cost of goods per case increased to $12.91 per case in the three months ended September 30, 2024, from $12.22 per case for the same period last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Gross Margin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Gross margin was 18% for the three months ended September 30, 2024, compared to 34% for the same period last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Operating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Delivery and Handling Expenses</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Delivery and handling expenses consist of delivery costs to customers and warehousing costs incurred for handling our finished goods after production. Delivery and handling expenses decreased by $629 in the three months ended September 30, 2024, to $1,279 from $1,908 in the same period last year, driven by our efforts to mitigate inflationary costs. Delivery costs in the three months ended September 30, 2024, were 19% of net sales and $2.99 per case, compared to 16% of net sales and $2.98 per case during the same period last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and Marketing Expenses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Marketing expenses consist of direct marketing, marketing labor, and marketing support costs. Selling expenses consist of all other selling-related expenses including personnel and contractor support. Total selling and marketing expenses were $1,283 during the three months ended September 30, 2024, compared to $861 during the same period last year, an increase of $422. As a percentage of net sales, selling and marketing costs was 19% during the three months ended September 30, 2024, as compared to 7% during the same period last year. The increase was primarily driven by higher employee related costs, marketing spend, and higher service fees related to e-commerce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General and administrative expenses consist primarily of the cost of executive, administrative, and finance personnel, as well as professional fees. General and administrative expenses increased in the three months ended September 30, 2024 to $1,791 from $1,407, an increase of $384 over the same period last year. As a percentage of net sales, general and administrative expenses were 27% during the three months ended September 30, 2024, as compared to 12% during the same period last year. The increase was driven by higher professional fees, bad debt expense, investor related costs and employee related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auto"/>
        </w:rPr>
        <w:t>Loss from Operations</w:t>
      </w:r>
    </w:p>
    <w:p>
      <w:pPr>
        <w:spacing w:after="0" w:line="2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The loss from operations was $3,138 for the three months ended September 30, 2024, as compared to a loss of $143 in the same period last year driven by decreased gross profit and an increase in operating expenses discussed above.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Interest and Other Expense</w:t>
      </w:r>
    </w:p>
    <w:p>
      <w:pPr>
        <w:spacing w:after="0" w:line="2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Interest and other expense for the three months ended September 30, 2024, consisted of $1,012 of interest expense. During the same period last year, interest and other expense consisted of $1,293 of interest expense.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Modified EBITDA</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tax expense, depreciation and amortization, stock-based compensation, changes in fair value of warrant expense, change in fair value of SAFE agreements, legal and insurance settlements, non-recurring professional fees inventory write-offs associated with exited categories and major packaging and formula changes, one-time changes in policy, impact of changes to accounting methodology and one-time restructuring-related costs including employee severance and asset impairment.</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below is a reconciliation of net loss to Modified EBITDA for the three months ended September 30, 2024 and 2023 (unaudited;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48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8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(4,150)</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(1,436)</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Modified EBITDA adjustments:</w:t>
            </w:r>
          </w:p>
        </w:tc>
        <w:tc>
          <w:tcPr>
            <w:tcW w:w="2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expense</w:t>
            </w:r>
          </w:p>
        </w:tc>
        <w:tc>
          <w:tcPr>
            <w:tcW w:w="2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2,405</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SAFE investments</w:t>
            </w:r>
          </w:p>
        </w:tc>
        <w:tc>
          <w:tcPr>
            <w:tcW w:w="2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(1,393)</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Production quality hold write-down</w:t>
            </w:r>
          </w:p>
        </w:tc>
        <w:tc>
          <w:tcPr>
            <w:tcW w:w="2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 and other noncash compensation</w:t>
            </w:r>
          </w:p>
        </w:tc>
        <w:tc>
          <w:tcPr>
            <w:tcW w:w="2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2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Severance</w:t>
            </w:r>
          </w:p>
        </w:tc>
        <w:tc>
          <w:tcPr>
            <w:tcW w:w="2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Legal settlements</w:t>
            </w:r>
          </w:p>
        </w:tc>
        <w:tc>
          <w:tcPr>
            <w:tcW w:w="28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EBITDA adjustments</w:t>
            </w:r>
          </w:p>
        </w:tc>
        <w:tc>
          <w:tcPr>
            <w:tcW w:w="28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0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4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Modified EBITDA</w:t>
            </w:r>
          </w:p>
        </w:tc>
        <w:tc>
          <w:tcPr>
            <w:tcW w:w="3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(2,998)</w:t>
            </w:r>
          </w:p>
        </w:tc>
        <w:tc>
          <w:tcPr>
            <w:tcW w:w="9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bottom w:val="single" w:sz="8" w:color="CCEEFF"/>
            </w:tcBorders>
            <w:vMerge w:val="restart"/>
          </w:tcPr>
          <w:p>
            <w:pPr>
              <w:jc w:val="right"/>
              <w:ind w:right="1360"/>
              <w:spacing w:after="0"/>
              <w:rPr>
                <w:sz w:val="20"/>
                <w:szCs w:val="20"/>
                <w:color w:val="auto"/>
              </w:rPr>
            </w:pPr>
            <w:r>
              <w:rPr>
                <w:rFonts w:ascii="Times New Roman" w:cs="Times New Roman" w:eastAsia="Times New Roman" w:hAnsi="Times New Roman"/>
                <w:sz w:val="16"/>
                <w:szCs w:val="16"/>
                <w:color w:val="auto"/>
              </w:rPr>
              <w:t>5</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02" w:right="31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6"/>
          <w:szCs w:val="16"/>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62" w:lineRule="exact"/>
        <w:rPr>
          <w:sz w:val="20"/>
          <w:szCs w:val="20"/>
          <w:color w:val="auto"/>
        </w:rPr>
      </w:pPr>
    </w:p>
    <w:p>
      <w:pPr>
        <w:ind w:left="860" w:hanging="287"/>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Modified EBITDA does not reflect our cash expenditures, or future requirements, for capital expenditures or contractual commitments;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Modified EBITDA does not reflect changes in, or cash requirements for, our working capital needs;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Modified EBITDA does not reflect future interest expense, or the cash requirements necessary to service interest or principal payments, on our debts; and</w:t>
      </w:r>
    </w:p>
    <w:p>
      <w:pPr>
        <w:spacing w:after="0" w:line="200"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 – Nine months ended September 30, 2024, as compared to Nine Months Ended September 30,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key statistics for the nine months ended September 30, 2024 and 2023, respectively,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80" w:type="dxa"/>
            <w:vAlign w:val="bottom"/>
            <w:gridSpan w:val="6"/>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Pct.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billing (A)</w:t>
            </w: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32,864</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36,837</w:t>
            </w:r>
          </w:p>
        </w:tc>
        <w:tc>
          <w:tcPr>
            <w:tcW w:w="36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Less: Promotional and other allowances (B)</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4,643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3,819</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4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28,221</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33,018</w:t>
            </w:r>
          </w:p>
        </w:tc>
        <w:tc>
          <w:tcPr>
            <w:tcW w:w="36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goods sold</w:t>
            </w: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19,762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23,778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i w:val="1"/>
                <w:iCs w:val="1"/>
                <w:color w:val="auto"/>
              </w:rPr>
              <w:t>% of Gross billing</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60%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65%</w:t>
            </w: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70%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72%</w:t>
            </w: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14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8,459</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9,240</w:t>
            </w:r>
          </w:p>
        </w:tc>
        <w:tc>
          <w:tcPr>
            <w:tcW w:w="36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30%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28%</w:t>
            </w: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w:t>
            </w: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Delivery and handling</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4,204</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5,714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17%</w:t>
            </w: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i w:val="1"/>
                <w:iCs w:val="1"/>
                <w:color w:val="auto"/>
              </w:rPr>
              <w:t>Dollar per case ($)</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2.66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i w:val="1"/>
                <w:iCs w:val="1"/>
                <w:color w:val="auto"/>
              </w:rPr>
              <w:t>3.17</w:t>
            </w: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3,473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3,567</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11%</w:t>
            </w: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5,239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4,427</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13%</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12,916</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13,708</w:t>
            </w:r>
          </w:p>
        </w:tc>
        <w:tc>
          <w:tcPr>
            <w:tcW w:w="36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4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(4,457)</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(4,468)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and other income (expense)</w:t>
            </w: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(4,578)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(4,459)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4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(9,035)</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(8,927)</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4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per share – basic and diluted</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(2.02)</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(2.69)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4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 &amp; diluted</w:t>
            </w: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4,483,587</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3,322,959</w:t>
            </w:r>
          </w:p>
        </w:tc>
        <w:tc>
          <w:tcPr>
            <w:tcW w:w="36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04" w:right="319" w:bottom="1440" w:gutter="0" w:footer="0" w:header="0"/>
        </w:sectPr>
      </w:pPr>
    </w:p>
    <w:bookmarkStart w:id="24" w:name="page25"/>
    <w:bookmarkEnd w:id="24"/>
    <w:p>
      <w:pPr>
        <w:jc w:val="both"/>
        <w:ind w:left="860" w:right="20" w:hanging="575"/>
        <w:spacing w:after="0" w:line="259" w:lineRule="auto"/>
        <w:tabs>
          <w:tab w:leader="none" w:pos="8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have been defined by our internal reporting practices</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i w:val="1"/>
          <w:iCs w:val="1"/>
          <w:color w:val="auto"/>
        </w:rPr>
      </w:pPr>
    </w:p>
    <w:p>
      <w:pPr>
        <w:jc w:val="both"/>
        <w:ind w:left="860" w:hanging="575"/>
        <w:spacing w:after="0" w:line="253" w:lineRule="auto"/>
        <w:tabs>
          <w:tab w:leader="none" w:pos="8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Cost of Sales, and Gross Margins</w:t>
      </w:r>
    </w:p>
    <w:p>
      <w:pPr>
        <w:spacing w:after="0" w:line="20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Core beverage volume for the nine months ended September 30, 2024, represents 100% of all beverage volume.</w:t>
      </w:r>
    </w:p>
    <w:p>
      <w:pPr>
        <w:spacing w:after="0" w:line="20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Core brand gross billing decreased by 10% to $32,864 compared to $36,626 during the same period last year, driven by Reed’s volume decline of 10% and Virgil’s volume decline of 16%. The result is a decrease in total gross billing of 11%, to $32,864 during the nine months ended September 30, 2024, from $36,837 in the same period last year. Price on our core brands increased 1% to $20.81 per case. The lower gross billings was a result of volume declines that have impacted the carbonated soft drink segment as a result of price increases coupled with the Company’s inability to produce sufficient levels of inventory to meet current demand as a result of tighter credit terms from suppliers.</w:t>
      </w:r>
    </w:p>
    <w:p>
      <w:pPr>
        <w:spacing w:after="0" w:line="16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Discounts as a percentage of gross sales was 14% compared to 10% in the same period last year. As a result, net sales revenue decreased 15% in the nine months ended September 30, 2024, to $28,221, compared to $33,018 in the same period last year driven by lower sales and elevated trade spend.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i w:val="1"/>
          <w:iCs w:val="1"/>
          <w:color w:val="auto"/>
        </w:rPr>
        <w:t>Cost of Goods Sold</w:t>
      </w:r>
    </w:p>
    <w:p>
      <w:pPr>
        <w:spacing w:after="0" w:line="20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Cost of goods sold decreased $4,016 during the nine months ended September 30, 2024, as compared to the same period last year. As a percentage of net sales, cost of goods sold for the nine months ended September 30, 2024, was 70% as compared to 72% for the same period last year. The decrease was driven by lower supply chain and input costs.</w:t>
      </w:r>
    </w:p>
    <w:p>
      <w:pPr>
        <w:spacing w:after="0" w:line="15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The total cost of goods per case decreased to $12.52 per case in the nine months ended September 30, 2024, from $13.17 per case for the same period last year. The cost of goods sold per case on core brands was $12.51 during the nine months ended September 30, 2024, compared to $13.11 for the same period last year.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Gross Margin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Gross margin increased to 30% for the nine months ended September 30, 2024, compared to 28% for the same period last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Operating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Delivery and Handling Expenses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Delivery and handling expenses consist of delivery costs to customers and warehousing costs incurred for handling our finished goods after production. Delivery and handling expenses decreased by $1,510 in the nine months ended September 30, 2024, to $4,204 from $5,714 in the same period last year, driven by our efforts to mitigate inflationary costs. Delivery costs in the nine months ended September 30, 2024, were 15% of net sales and $2.66 per case, compared to 17% of net sales and $3.17 per case during the same period last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and Marketing Expenses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Marketing expenses consist of direct marketing, marketing labor, and marketing support costs. Selling expenses consist of all other selling-related expenses including personnel and contractor support. Total selling and marketing expenses were $3,473 during the nine months ended September 30, 2024, compared to $3,567 during the same period last year. As a percentage of net sales, selling and marketing expenses were 12% of net sales during the nine months ended September 30, 2024, as compared to 11% of net sales during the same period last year. The decrease was driven by lower co-op advertising fees, employee related costs and marketing spend partially offset by higher broker fees and e-commerce delivery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General and administrative expenses consist primarily of the cost of executive, administrative, and finance personnel, as well as professional fees. General and administrative expenses increased in the nine months ended September 30, 2024, to $5,239 from $4,427, an increase of $812 over the same period last year. The increase was driven by higher employee related costs, legal settlement related costs, professional fees, and quality assurance costs spending partially offset by lower public company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Loss from Operations</w:t>
      </w:r>
    </w:p>
    <w:p>
      <w:pPr>
        <w:spacing w:after="0" w:line="2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The loss from operations was $4,457 for the nine months ended September 30, 2024, as compared to a loss of $4,468 in the same period last year driven by increased gross profit and decreased operating expenses discussed above.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Interest and Other Expense</w:t>
      </w:r>
    </w:p>
    <w:p>
      <w:pPr>
        <w:spacing w:after="0" w:line="2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Interest and other expense for the nine months ended September 30, 2024, consisted of $4,578 of interest expense. During the same period last year, interest and other expense consisted of $4,459 of interest expense.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auto"/>
        </w:rPr>
        <w:t>Modified EBITDA</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tax expense, depreciation and amortization, stock-based compensation, changes in fair value of warrant expense, change in fair value of SAFE agreements, legal and insurance settlements, non-recurring professional fees inventory write-offs associated with exited categories and major packaging and formula changes, one-time changes in policy, impact of changes to accounting methodology and one-time restructuring-related costs including employee severance and asset impairment.</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below is a reconciliation of net loss to Modified EBITDA for the nine months ended September 30, 2024 and 2023 (unaudited;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(9,035)</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5"/>
              </w:rPr>
              <w:t>(8,927)</w:t>
            </w:r>
          </w:p>
        </w:tc>
        <w:tc>
          <w:tcPr>
            <w:tcW w:w="12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Modified EBITDA adjustments:</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6"/>
                <w:szCs w:val="16"/>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209</w:t>
            </w:r>
          </w:p>
        </w:tc>
        <w:tc>
          <w:tcPr>
            <w:tcW w:w="104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quality hold write-down</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and other noncash compensation</w:t>
            </w:r>
          </w:p>
        </w:tc>
        <w:tc>
          <w:tcPr>
            <w:tcW w:w="980" w:type="dxa"/>
            <w:vAlign w:val="bottom"/>
          </w:tcPr>
          <w:p>
            <w:pPr>
              <w:spacing w:after="0"/>
              <w:rPr>
                <w:sz w:val="16"/>
                <w:szCs w:val="16"/>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268</w:t>
            </w:r>
          </w:p>
        </w:tc>
        <w:tc>
          <w:tcPr>
            <w:tcW w:w="104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9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334</w:t>
            </w:r>
          </w:p>
        </w:tc>
        <w:tc>
          <w:tcPr>
            <w:tcW w:w="10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Severance expense</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settlements</w:t>
            </w:r>
          </w:p>
        </w:tc>
        <w:tc>
          <w:tcPr>
            <w:tcW w:w="9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170</w:t>
            </w:r>
          </w:p>
        </w:tc>
        <w:tc>
          <w:tcPr>
            <w:tcW w:w="10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EBITDA adjustments</w:t>
            </w:r>
          </w:p>
        </w:tc>
        <w:tc>
          <w:tcPr>
            <w:tcW w:w="98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5,712</w:t>
            </w:r>
          </w:p>
        </w:tc>
        <w:tc>
          <w:tcPr>
            <w:tcW w:w="3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Modified EBITDA</w:t>
            </w:r>
          </w:p>
        </w:tc>
        <w:tc>
          <w:tcPr>
            <w:tcW w:w="98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(3,323)</w:t>
            </w:r>
          </w:p>
        </w:tc>
        <w:tc>
          <w:tcPr>
            <w:tcW w:w="104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8"/>
              </w:rPr>
              <w:t>(3,711)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62" w:lineRule="exact"/>
        <w:rPr>
          <w:sz w:val="20"/>
          <w:szCs w:val="20"/>
          <w:color w:val="auto"/>
        </w:rPr>
      </w:pPr>
    </w:p>
    <w:p>
      <w:pPr>
        <w:ind w:left="860" w:hanging="287"/>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Modified EBITDA does not reflect our cash expenditures, or future requirements, for capital expenditures or contractual commitments;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Modified EBITDA does not reflect changes in, or cash requirements for, our working capital needs;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27" w:name="page28"/>
    <w:bookmarkEnd w:id="27"/>
    <w:p>
      <w:pPr>
        <w:ind w:left="860" w:hanging="287"/>
        <w:spacing w:after="0"/>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Modified EBITDA does not reflect future interest expense, or the cash requirements necessary to service interest or principal payments, on our debts; and</w:t>
      </w:r>
    </w:p>
    <w:p>
      <w:pPr>
        <w:spacing w:after="0" w:line="200"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Going Concern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accompanying financial statements have been prepared on a going concern basis, which contemplates the realization of assets and the settlement of liabilities and commitments in the normal course of business. As reflected in the accompanying financial statements, for the nine months ended September 30, 2024, the Company recorded a net loss of $9,035, and utilized $2,254 of cash in operations and at September 30, 2024, had a working capital deficiency of $22,923 and a stockholders’ deficit of $21,953. As of September 30, 2024, the Company borrowed $5,390 on its line of credit and owed $21,751 on its Notes (See Note 5 and Note 6 for further detail). These factors raise substantial doubt about the Company’s ability to continue as a going concern within one year of the date that the financial statements are issued. The financial statements do not include any adjustments related to the recoverability and classification of recorded asset amounts or the amounts and classification of liabilities that might be necessary should the Company be unable to continue as a going concern.</w:t>
      </w:r>
    </w:p>
    <w:p>
      <w:pPr>
        <w:spacing w:after="0" w:line="1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As of September 30, 2024, we had a cash balance of $306, no availability under our line of credit and $7,529 of additional borrowing capacity from the credit facility assuming there is availability under the terms.</w:t>
      </w:r>
    </w:p>
    <w:p>
      <w:pPr>
        <w:spacing w:after="0" w:line="14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On July 26, 2024, Norman E. Snyder Jr, CEO of the Company, provided a personal guaranty for a $500 over advance on our existing line of credit with ACS. On August 1, 2024, the Company funded $1,400 pursuant to an option exercise by Whitebox under the Option Notes.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Historically, we have financed our operations through public and private sales of common stock, issuance of preferred and common stock, convertible debt instruments, term loans and credit lines from financial institutions, and cash generated from operations.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The Company is continuing to discuss the restructuring of debt with existing lenders and is exploring new financing opportunities to address the line of credit which comes due in March 2025 (see Note 5) and the portion of debt under the Notes that is due on December 15, 2024 (see Note 6).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6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We have also taken decisive action to improve our margins, including fully outsourcing our manufacturing process, streamlining our product portfolio, negotiating improved vendor contracts and restructuring our selling prices.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Payable and Existing Financing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refer to Notes 5 and 6 in the accompanying condensed financial statements for a description of our existing line of credit agreement and outstanding notes payable.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preparation of the Company’s financial statements in conformity with generally accepted accounting principles in the United States (“U.S. GAAP”) requires management to make estimates and assumptions that affect the reported amounts of assets and liabilities at the date of the financial statements and the reported amounts of expenses during the reporting period. Some of those judgments can be subjective and complex, and therefore, actual results could differ materially from those estimates under different assumptions or conditions. Management bases its estimates on historical experience and on various assumptions that are believed to be reasonable in relation to the financial statements taken as a whole under the circumstances,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There were no changes to our critical accounting policies described in the condensed financial statements included in our 2023 10-K that impacted our condensed financial statements and related notes included herein.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2 of the Notes to Condensed Financial Statements for a discussion of recent accounting pronouncements.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smaller reporting company is not required to provide the information required by this Item.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September 30, 2024,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2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There have been no changes in the Company’s internal control over financial reporting during the three months ended September 30, 2024 that have materially affected, or are reasonably likely to materially affect, the Company’s internal control over financial reporting.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are currently, and from time to time, may be continue to be subject to a variety of variety of litigation, claims, legal or regulatory proceedings, inquiries and investigations from time to time in the ordinary course of business. Management evaluates, and periodically re-evaluates, whether the final result of any of the foregoing may be expected to have a material adverse effect on our financial condition, results of operations or cash flows. Management has determined that no disclosure is required under this Item 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material changes with respect to the risk factors disclosed in our 2023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 that have not been previously disclosed in a Current Report on Form 8-K.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29" w:name="page30"/>
    <w:bookmarkEnd w:id="29"/>
    <w:p>
      <w:pPr>
        <w:ind w:left="4"/>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Trading Plans</w:t>
      </w:r>
    </w:p>
    <w:p>
      <w:pPr>
        <w:spacing w:after="0" w:line="203"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color w:val="auto"/>
        </w:rPr>
        <w:t>During the fiscal quarter ended September 30, 2024, none of our directors or officers (as defined in Rule 16a-1(f) under the Act) informed us of the adoption or termination of a “Rule 10b5-1 trading arrangement” or a “non-Rule 10b5-1 trading arrangement,” as those terms are defined in Item 408 of Regulation S-K.</w:t>
      </w:r>
    </w:p>
    <w:p>
      <w:pPr>
        <w:spacing w:after="0" w:line="1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See Exhibit Index on page. 13.</w:t>
      </w:r>
    </w:p>
    <w:p>
      <w:pPr>
        <w:spacing w:after="0" w:line="1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INDEX TO EXHIBITS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ITEM 15(a)(3)</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following is a list of the exhibits filed as part of this Form 10-Q. The documents incorporated by reference can be viewed on the SEC’s website at http://www.sec.gov.</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03" w:lineRule="exact"/>
        <w:rPr>
          <w:sz w:val="20"/>
          <w:szCs w:val="20"/>
          <w:color w:val="auto"/>
        </w:rPr>
      </w:pPr>
    </w:p>
    <w:p>
      <w:pPr>
        <w:ind w:left="4"/>
        <w:spacing w:after="0"/>
        <w:tabs>
          <w:tab w:leader="none" w:pos="563"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3(i)</w:t>
      </w:r>
      <w:r>
        <w:rPr>
          <w:sz w:val="20"/>
          <w:szCs w:val="20"/>
          <w:color w:val="auto"/>
        </w:rPr>
        <w:tab/>
      </w:r>
      <w:hyperlink r:id="rId36">
        <w:r>
          <w:rPr>
            <w:rFonts w:ascii="Times New Roman" w:cs="Times New Roman" w:eastAsia="Times New Roman" w:hAnsi="Times New Roman"/>
            <w:sz w:val="16"/>
            <w:szCs w:val="16"/>
            <w:u w:val="single" w:color="auto"/>
            <w:color w:val="0000EE"/>
          </w:rPr>
          <w:t>Certificate of Incorporation of Reeds, Inc. which is incorporated herein by reference to exhibit 3(iv) to Form 10-K filed with SEC on May 15, 2023.</w:t>
        </w:r>
      </w:hyperlink>
    </w:p>
    <w:p>
      <w:pPr>
        <w:spacing w:after="0" w:line="25" w:lineRule="exact"/>
        <w:rPr>
          <w:sz w:val="20"/>
          <w:szCs w:val="20"/>
          <w:color w:val="auto"/>
        </w:rPr>
      </w:pPr>
    </w:p>
    <w:p>
      <w:pPr>
        <w:ind w:left="4"/>
        <w:spacing w:after="0"/>
        <w:tabs>
          <w:tab w:leader="none" w:pos="563"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3(ii)</w:t>
      </w:r>
      <w:r>
        <w:rPr>
          <w:sz w:val="20"/>
          <w:szCs w:val="20"/>
          <w:color w:val="auto"/>
        </w:rPr>
        <w:tab/>
      </w:r>
      <w:hyperlink r:id="rId37">
        <w:r>
          <w:rPr>
            <w:rFonts w:ascii="Times New Roman" w:cs="Times New Roman" w:eastAsia="Times New Roman" w:hAnsi="Times New Roman"/>
            <w:sz w:val="16"/>
            <w:szCs w:val="16"/>
            <w:u w:val="single" w:color="auto"/>
            <w:color w:val="0000EE"/>
          </w:rPr>
          <w:t>Amended and Restated Bylaws of Reed’s, Inc. which is incorporated by reference to Exhibit 3.8 to Form 10-K/A filed with the SEC on April 8, 2020.</w:t>
        </w:r>
      </w:hyperlink>
    </w:p>
    <w:p>
      <w:pPr>
        <w:spacing w:after="0" w:line="8" w:lineRule="exact"/>
        <w:rPr>
          <w:sz w:val="20"/>
          <w:szCs w:val="20"/>
          <w:color w:val="auto"/>
        </w:rPr>
      </w:pPr>
    </w:p>
    <w:p>
      <w:pPr>
        <w:jc w:val="both"/>
        <w:ind w:left="584" w:right="20" w:hanging="576"/>
        <w:spacing w:after="0" w:line="250" w:lineRule="auto"/>
        <w:tabs>
          <w:tab w:leader="none" w:pos="563"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4.1</w:t>
      </w:r>
      <w:r>
        <w:rPr>
          <w:sz w:val="20"/>
          <w:szCs w:val="20"/>
          <w:color w:val="auto"/>
        </w:rPr>
        <w:tab/>
      </w:r>
      <w:hyperlink r:id="rId38">
        <w:r>
          <w:rPr>
            <w:rFonts w:ascii="Times New Roman" w:cs="Times New Roman" w:eastAsia="Times New Roman" w:hAnsi="Times New Roman"/>
            <w:sz w:val="16"/>
            <w:szCs w:val="16"/>
            <w:u w:val="single" w:color="auto"/>
            <w:color w:val="0000EE"/>
          </w:rPr>
          <w:t>Form of Option Note in favor of Wilmington Savings Fund Society, FSB dated August 1, 2024, which is incorporated by reference to Exhibit 4.1 to Form 10-Q filed</w:t>
        </w:r>
      </w:hyperlink>
      <w:r>
        <w:rPr>
          <w:rFonts w:ascii="Times New Roman" w:cs="Times New Roman" w:eastAsia="Times New Roman" w:hAnsi="Times New Roman"/>
          <w:sz w:val="16"/>
          <w:szCs w:val="16"/>
          <w:u w:val="single" w:color="auto"/>
          <w:color w:val="0000EE"/>
        </w:rPr>
        <w:t xml:space="preserve"> </w:t>
      </w:r>
      <w:hyperlink r:id="rId38">
        <w:r>
          <w:rPr>
            <w:rFonts w:ascii="Times New Roman" w:cs="Times New Roman" w:eastAsia="Times New Roman" w:hAnsi="Times New Roman"/>
            <w:sz w:val="16"/>
            <w:szCs w:val="16"/>
            <w:u w:val="single" w:color="auto"/>
            <w:color w:val="0000EE"/>
          </w:rPr>
          <w:t>with the SEC on August 13, 2024</w:t>
        </w:r>
      </w:hyperlink>
    </w:p>
    <w:p>
      <w:pPr>
        <w:spacing w:after="0" w:line="2" w:lineRule="exact"/>
        <w:rPr>
          <w:sz w:val="20"/>
          <w:szCs w:val="20"/>
          <w:color w:val="auto"/>
        </w:rPr>
      </w:pPr>
    </w:p>
    <w:p>
      <w:pPr>
        <w:jc w:val="both"/>
        <w:ind w:left="584" w:right="20" w:hanging="576"/>
        <w:spacing w:after="0" w:line="250" w:lineRule="auto"/>
        <w:tabs>
          <w:tab w:leader="none" w:pos="563"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w:t>
      </w:r>
      <w:r>
        <w:rPr>
          <w:sz w:val="20"/>
          <w:szCs w:val="20"/>
          <w:color w:val="auto"/>
        </w:rPr>
        <w:tab/>
      </w:r>
      <w:hyperlink r:id="rId39">
        <w:r>
          <w:rPr>
            <w:rFonts w:ascii="Times New Roman" w:cs="Times New Roman" w:eastAsia="Times New Roman" w:hAnsi="Times New Roman"/>
            <w:sz w:val="16"/>
            <w:szCs w:val="16"/>
            <w:u w:val="single" w:color="auto"/>
            <w:color w:val="0000EE"/>
          </w:rPr>
          <w:t>Option Exercise and Sixth Amendment to the 10% Secured Convertible Notes by and between Reed’s, Inc. and each holder and Wilmington Savings Fund Society,</w:t>
        </w:r>
      </w:hyperlink>
      <w:r>
        <w:rPr>
          <w:rFonts w:ascii="Times New Roman" w:cs="Times New Roman" w:eastAsia="Times New Roman" w:hAnsi="Times New Roman"/>
          <w:sz w:val="16"/>
          <w:szCs w:val="16"/>
          <w:u w:val="single" w:color="auto"/>
          <w:color w:val="0000EE"/>
        </w:rPr>
        <w:t xml:space="preserve"> </w:t>
      </w:r>
      <w:hyperlink r:id="rId39">
        <w:r>
          <w:rPr>
            <w:rFonts w:ascii="Times New Roman" w:cs="Times New Roman" w:eastAsia="Times New Roman" w:hAnsi="Times New Roman"/>
            <w:sz w:val="16"/>
            <w:szCs w:val="16"/>
            <w:u w:val="single" w:color="auto"/>
            <w:color w:val="0000EE"/>
          </w:rPr>
          <w:t>FSB, holder representative and collateral agent dated August 1, 2024, which is incorporated by reference to Exhibit 10.1 to Form 10-Q filed with the SEC on August</w:t>
        </w:r>
      </w:hyperlink>
      <w:r>
        <w:rPr>
          <w:rFonts w:ascii="Times New Roman" w:cs="Times New Roman" w:eastAsia="Times New Roman" w:hAnsi="Times New Roman"/>
          <w:sz w:val="16"/>
          <w:szCs w:val="16"/>
          <w:u w:val="single" w:color="auto"/>
          <w:color w:val="0000EE"/>
        </w:rPr>
        <w:t xml:space="preserve"> </w:t>
      </w:r>
      <w:hyperlink r:id="rId39">
        <w:r>
          <w:rPr>
            <w:rFonts w:ascii="Times New Roman" w:cs="Times New Roman" w:eastAsia="Times New Roman" w:hAnsi="Times New Roman"/>
            <w:sz w:val="16"/>
            <w:szCs w:val="16"/>
            <w:u w:val="single" w:color="auto"/>
            <w:color w:val="0000EE"/>
          </w:rPr>
          <w:t>13, 2024.</w:t>
        </w:r>
      </w:hyperlink>
    </w:p>
    <w:p>
      <w:pPr>
        <w:spacing w:after="0" w:line="2" w:lineRule="exact"/>
        <w:rPr>
          <w:rFonts w:ascii="Times New Roman" w:cs="Times New Roman" w:eastAsia="Times New Roman" w:hAnsi="Times New Roman"/>
          <w:sz w:val="16"/>
          <w:szCs w:val="16"/>
          <w:u w:val="single" w:color="auto"/>
          <w:color w:val="0000EE"/>
        </w:rPr>
      </w:pPr>
    </w:p>
    <w:p>
      <w:pPr>
        <w:jc w:val="both"/>
        <w:ind w:left="584" w:right="20" w:hanging="576"/>
        <w:spacing w:after="0" w:line="250" w:lineRule="auto"/>
        <w:tabs>
          <w:tab w:leader="none" w:pos="563"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10.2</w:t>
      </w:r>
      <w:r>
        <w:rPr>
          <w:sz w:val="20"/>
          <w:szCs w:val="20"/>
          <w:color w:val="auto"/>
        </w:rPr>
        <w:tab/>
      </w:r>
      <w:hyperlink r:id="rId40">
        <w:r>
          <w:rPr>
            <w:rFonts w:ascii="Times New Roman" w:cs="Times New Roman" w:eastAsia="Times New Roman" w:hAnsi="Times New Roman"/>
            <w:sz w:val="16"/>
            <w:szCs w:val="16"/>
            <w:u w:val="single" w:color="auto"/>
            <w:color w:val="0000EE"/>
          </w:rPr>
          <w:t>Securities Purchase Agreement by and between Reed’s, Inc. and investors dated September 9, 2024, which is incorporated by reference to Exhibit 10.1 to Form 8-K</w:t>
        </w:r>
      </w:hyperlink>
      <w:r>
        <w:rPr>
          <w:rFonts w:ascii="Times New Roman" w:cs="Times New Roman" w:eastAsia="Times New Roman" w:hAnsi="Times New Roman"/>
          <w:sz w:val="16"/>
          <w:szCs w:val="16"/>
          <w:u w:val="single" w:color="auto"/>
          <w:color w:val="0000EE"/>
        </w:rPr>
        <w:t xml:space="preserve"> </w:t>
      </w:r>
      <w:hyperlink r:id="rId40">
        <w:r>
          <w:rPr>
            <w:rFonts w:ascii="Times New Roman" w:cs="Times New Roman" w:eastAsia="Times New Roman" w:hAnsi="Times New Roman"/>
            <w:sz w:val="16"/>
            <w:szCs w:val="16"/>
            <w:u w:val="single" w:color="auto"/>
            <w:color w:val="0000EE"/>
          </w:rPr>
          <w:t>filed with the SEC on September 13, 2024.</w:t>
        </w:r>
      </w:hyperlink>
    </w:p>
    <w:p>
      <w:pPr>
        <w:spacing w:after="0" w:line="2" w:lineRule="exact"/>
        <w:rPr>
          <w:sz w:val="20"/>
          <w:szCs w:val="20"/>
          <w:color w:val="auto"/>
        </w:rPr>
      </w:pPr>
    </w:p>
    <w:p>
      <w:pPr>
        <w:jc w:val="both"/>
        <w:ind w:left="584" w:hanging="576"/>
        <w:spacing w:after="0" w:line="250" w:lineRule="auto"/>
        <w:tabs>
          <w:tab w:leader="none" w:pos="563"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10.3</w:t>
      </w:r>
      <w:r>
        <w:rPr>
          <w:sz w:val="20"/>
          <w:szCs w:val="20"/>
          <w:color w:val="auto"/>
        </w:rPr>
        <w:tab/>
      </w:r>
      <w:hyperlink r:id="rId41">
        <w:r>
          <w:rPr>
            <w:rFonts w:ascii="Times New Roman" w:cs="Times New Roman" w:eastAsia="Times New Roman" w:hAnsi="Times New Roman"/>
            <w:sz w:val="16"/>
            <w:szCs w:val="16"/>
            <w:u w:val="single" w:color="auto"/>
            <w:color w:val="0000EE"/>
          </w:rPr>
          <w:t>Registration Rights Agreement by and between Reed’s, Inc. and investors dated September 9, 2024, which is incorporated by reference to Exhibit 10.2 to Form 8-K</w:t>
        </w:r>
      </w:hyperlink>
      <w:r>
        <w:rPr>
          <w:rFonts w:ascii="Times New Roman" w:cs="Times New Roman" w:eastAsia="Times New Roman" w:hAnsi="Times New Roman"/>
          <w:sz w:val="16"/>
          <w:szCs w:val="16"/>
          <w:u w:val="single" w:color="auto"/>
          <w:color w:val="0000EE"/>
        </w:rPr>
        <w:t xml:space="preserve"> </w:t>
      </w:r>
      <w:hyperlink r:id="rId41">
        <w:r>
          <w:rPr>
            <w:rFonts w:ascii="Times New Roman" w:cs="Times New Roman" w:eastAsia="Times New Roman" w:hAnsi="Times New Roman"/>
            <w:sz w:val="16"/>
            <w:szCs w:val="16"/>
            <w:u w:val="single" w:color="auto"/>
            <w:color w:val="0000EE"/>
          </w:rPr>
          <w:t>filed with the SEC on September 13, 2024.</w:t>
        </w:r>
      </w:hyperlink>
    </w:p>
    <w:p>
      <w:pPr>
        <w:spacing w:after="0" w:line="2" w:lineRule="exact"/>
        <w:rPr>
          <w:sz w:val="20"/>
          <w:szCs w:val="20"/>
          <w:color w:val="auto"/>
        </w:rPr>
      </w:pPr>
    </w:p>
    <w:p>
      <w:pPr>
        <w:ind w:left="584" w:hanging="584"/>
        <w:spacing w:after="0"/>
        <w:tabs>
          <w:tab w:leader="none" w:pos="58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EE"/>
        </w:rPr>
        <w:t>Certification of our Chief Executive Officer and our Chief Financial Officer pursuant to Section 302 of the Sarbanes-Oxley Act of 2002.</w:t>
      </w:r>
    </w:p>
    <w:p>
      <w:pPr>
        <w:spacing w:after="0" w:line="8" w:lineRule="exact"/>
        <w:rPr>
          <w:rFonts w:ascii="Times New Roman" w:cs="Times New Roman" w:eastAsia="Times New Roman" w:hAnsi="Times New Roman"/>
          <w:sz w:val="16"/>
          <w:szCs w:val="16"/>
          <w:color w:val="auto"/>
        </w:rPr>
      </w:pPr>
    </w:p>
    <w:p>
      <w:pPr>
        <w:ind w:left="584" w:hanging="584"/>
        <w:spacing w:after="0"/>
        <w:tabs>
          <w:tab w:leader="none" w:pos="58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EE"/>
        </w:rPr>
        <w:t>Certification of our Chief Executive Officer and our Chief Financial Officer pursuant to Section 906 of the Sarbanes-Oxley Act of 2002.</w:t>
      </w:r>
    </w:p>
    <w:p>
      <w:pPr>
        <w:spacing w:after="0" w:line="8" w:lineRule="exact"/>
        <w:rPr>
          <w:sz w:val="20"/>
          <w:szCs w:val="20"/>
          <w:color w:val="auto"/>
        </w:rPr>
      </w:pPr>
    </w:p>
    <w:p>
      <w:pPr>
        <w:jc w:val="both"/>
        <w:ind w:left="584" w:right="20" w:hanging="579"/>
        <w:spacing w:after="0" w:line="250" w:lineRule="auto"/>
        <w:tabs>
          <w:tab w:leader="none" w:pos="563" w:val="left"/>
        </w:tabs>
        <w:rPr>
          <w:sz w:val="20"/>
          <w:szCs w:val="20"/>
          <w:color w:val="auto"/>
        </w:rPr>
      </w:pP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6"/>
          <w:szCs w:val="16"/>
          <w:color w:val="auto"/>
        </w:rPr>
        <w:t>The following materials from Reed’s, Inc.’s Quarterly Report on Form 10-Q for the quarter ended September 30, 2024 formatted in iXBRL (Inline eXtensible Business Reporting Language): (i) the Condensed Balance Sheets, (ii) the Condensed Statements of Operations, (iii) the Condensed Statements of Changes in Stockholders (Deficit), (iv) the Condensed Statements of Cash Flows, and (v) Notes to Condensed Financial Statements.</w:t>
      </w:r>
    </w:p>
    <w:p>
      <w:pPr>
        <w:spacing w:after="0" w:line="2" w:lineRule="exact"/>
        <w:rPr>
          <w:sz w:val="20"/>
          <w:szCs w:val="20"/>
          <w:color w:val="auto"/>
        </w:rPr>
      </w:pPr>
    </w:p>
    <w:p>
      <w:pPr>
        <w:ind w:left="584" w:right="20" w:hanging="584"/>
        <w:spacing w:after="0" w:line="261" w:lineRule="auto"/>
        <w:tabs>
          <w:tab w:leader="none" w:pos="584"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Reed’s, Inc. Quarterly Report on Form 10-Q for the quarter ended September 30, 2024, formatted in Inline XBRL and contained in Exhibit 101.</w:t>
      </w:r>
    </w:p>
    <w:p>
      <w:pPr>
        <w:spacing w:after="0" w:line="16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4"/>
          </w:cols>
          <w:pgMar w:left="316" w:top="602"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3"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Reed’s, Inc.</w:t>
            </w:r>
          </w:p>
        </w:tc>
      </w:tr>
      <w:tr>
        <w:trPr>
          <w:trHeight w:val="209"/>
        </w:trPr>
        <w:tc>
          <w:tcPr>
            <w:tcW w:w="3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(Registrant)</w:t>
            </w:r>
          </w:p>
        </w:tc>
      </w:tr>
      <w:tr>
        <w:trPr>
          <w:trHeight w:val="385"/>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14, 2024</w:t>
            </w:r>
          </w:p>
        </w:tc>
        <w:tc>
          <w:tcPr>
            <w:tcW w:w="2020" w:type="dxa"/>
            <w:vAlign w:val="bottom"/>
          </w:tcPr>
          <w:p>
            <w:pPr>
              <w:spacing w:after="0"/>
              <w:rPr>
                <w:sz w:val="24"/>
                <w:szCs w:val="24"/>
                <w:color w:val="auto"/>
              </w:rPr>
            </w:pP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/s/ Norman E. Snyder, Jr.</w:t>
            </w:r>
          </w:p>
        </w:tc>
      </w:tr>
      <w:tr>
        <w:trPr>
          <w:trHeight w:val="168"/>
        </w:trPr>
        <w:tc>
          <w:tcPr>
            <w:tcW w:w="3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64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Norman E. Snyder, Jr.</w:t>
            </w:r>
          </w:p>
        </w:tc>
      </w:tr>
      <w:tr>
        <w:trPr>
          <w:trHeight w:val="192"/>
        </w:trPr>
        <w:tc>
          <w:tcPr>
            <w:tcW w:w="36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09"/>
        </w:trPr>
        <w:tc>
          <w:tcPr>
            <w:tcW w:w="3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385"/>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14, 2024</w:t>
            </w:r>
          </w:p>
        </w:tc>
        <w:tc>
          <w:tcPr>
            <w:tcW w:w="2020" w:type="dxa"/>
            <w:vAlign w:val="bottom"/>
          </w:tcPr>
          <w:p>
            <w:pPr>
              <w:spacing w:after="0"/>
              <w:rPr>
                <w:sz w:val="24"/>
                <w:szCs w:val="24"/>
                <w:color w:val="auto"/>
              </w:rPr>
            </w:pP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/s/ Joann Tinnelly</w:t>
            </w:r>
          </w:p>
        </w:tc>
      </w:tr>
      <w:tr>
        <w:trPr>
          <w:trHeight w:val="168"/>
        </w:trPr>
        <w:tc>
          <w:tcPr>
            <w:tcW w:w="3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64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Joann Tinnelly</w:t>
            </w:r>
          </w:p>
        </w:tc>
      </w:tr>
      <w:tr>
        <w:trPr>
          <w:trHeight w:val="192"/>
        </w:trPr>
        <w:tc>
          <w:tcPr>
            <w:tcW w:w="36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9"/>
        </w:trPr>
        <w:tc>
          <w:tcPr>
            <w:tcW w:w="3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385"/>
        </w:trPr>
        <w:tc>
          <w:tcPr>
            <w:tcW w:w="360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gridSpan w:val="2"/>
          </w:tcPr>
          <w:p>
            <w:pPr>
              <w:jc w:val="right"/>
              <w:ind w:right="5480"/>
              <w:spacing w:after="0"/>
              <w:rPr>
                <w:sz w:val="20"/>
                <w:szCs w:val="20"/>
                <w:color w:val="auto"/>
              </w:rPr>
            </w:pPr>
            <w:r>
              <w:rPr>
                <w:rFonts w:ascii="Times New Roman" w:cs="Times New Roman" w:eastAsia="Times New Roman" w:hAnsi="Times New Roman"/>
                <w:sz w:val="16"/>
                <w:szCs w:val="16"/>
                <w:color w:val="auto"/>
              </w:rPr>
              <w:t>13</w:t>
            </w:r>
          </w:p>
        </w:tc>
      </w:tr>
    </w:tbl>
    <w:p>
      <w:pPr>
        <w:sectPr>
          <w:pgSz w:w="11900" w:h="16838" w:orient="portrait"/>
          <w:cols w:equalWidth="0" w:num="1">
            <w:col w:w="11260"/>
          </w:cols>
          <w:pgMar w:left="320" w:top="602" w:right="319" w:bottom="1440" w:gutter="0" w:footer="0" w:header="0"/>
        </w:sectPr>
      </w:pPr>
    </w:p>
    <w:bookmarkStart w:id="31" w:name="page32"/>
    <w:bookmarkEnd w:id="31"/>
    <w:p>
      <w:pPr>
        <w:ind w:left="10360"/>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Norman E. Snyder, Jr., certify that:</w:t>
      </w:r>
    </w:p>
    <w:p>
      <w:pPr>
        <w:spacing w:after="0" w:line="201" w:lineRule="exact"/>
        <w:rPr>
          <w:sz w:val="20"/>
          <w:szCs w:val="20"/>
          <w:color w:val="auto"/>
        </w:rPr>
      </w:pPr>
    </w:p>
    <w:p>
      <w:pPr>
        <w:ind w:left="740" w:hanging="167"/>
        <w:spacing w:after="0"/>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Reed’s, Inc.;</w:t>
      </w:r>
    </w:p>
    <w:p>
      <w:pPr>
        <w:spacing w:after="0" w:line="200" w:lineRule="exact"/>
        <w:rPr>
          <w:rFonts w:ascii="Times New Roman" w:cs="Times New Roman" w:eastAsia="Times New Roman" w:hAnsi="Times New Roman"/>
          <w:sz w:val="16"/>
          <w:szCs w:val="16"/>
          <w:color w:val="auto"/>
        </w:rPr>
      </w:pPr>
    </w:p>
    <w:p>
      <w:pPr>
        <w:ind w:right="20" w:firstLine="573"/>
        <w:spacing w:after="0" w:line="283" w:lineRule="auto"/>
        <w:tabs>
          <w:tab w:leader="none" w:pos="73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6"/>
          <w:szCs w:val="16"/>
          <w:color w:val="auto"/>
        </w:rPr>
      </w:pPr>
    </w:p>
    <w:p>
      <w:pPr>
        <w:ind w:right="20" w:firstLine="573"/>
        <w:spacing w:after="0" w:line="283" w:lineRule="auto"/>
        <w:tabs>
          <w:tab w:leader="none" w:pos="76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Times New Roman" w:cs="Times New Roman" w:eastAsia="Times New Roman" w:hAnsi="Times New Roman"/>
          <w:sz w:val="16"/>
          <w:szCs w:val="16"/>
          <w:color w:val="auto"/>
        </w:rPr>
      </w:pPr>
    </w:p>
    <w:p>
      <w:pPr>
        <w:ind w:left="740" w:hanging="167"/>
        <w:spacing w:after="0"/>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84" w:lineRule="exact"/>
        <w:rPr>
          <w:rFonts w:ascii="Times New Roman" w:cs="Times New Roman" w:eastAsia="Times New Roman" w:hAnsi="Times New Roman"/>
          <w:sz w:val="16"/>
          <w:szCs w:val="16"/>
          <w:color w:val="auto"/>
        </w:rPr>
      </w:pPr>
    </w:p>
    <w:p>
      <w:pPr>
        <w:jc w:val="both"/>
        <w:ind w:left="580" w:right="20" w:firstLine="571"/>
        <w:spacing w:after="0" w:line="267" w:lineRule="auto"/>
        <w:tabs>
          <w:tab w:leader="none" w:pos="1377"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6"/>
          <w:szCs w:val="16"/>
          <w:color w:val="auto"/>
        </w:rPr>
      </w:pPr>
    </w:p>
    <w:p>
      <w:pPr>
        <w:jc w:val="both"/>
        <w:ind w:left="580" w:firstLine="571"/>
        <w:spacing w:after="0" w:line="267" w:lineRule="auto"/>
        <w:tabs>
          <w:tab w:leader="none" w:pos="1391"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6"/>
          <w:szCs w:val="16"/>
          <w:color w:val="auto"/>
        </w:rPr>
      </w:pPr>
    </w:p>
    <w:p>
      <w:pPr>
        <w:ind w:left="580" w:right="20" w:firstLine="571"/>
        <w:spacing w:after="0" w:line="283" w:lineRule="auto"/>
        <w:tabs>
          <w:tab w:leader="none" w:pos="1384"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6"/>
          <w:szCs w:val="16"/>
          <w:color w:val="auto"/>
        </w:rPr>
      </w:pPr>
    </w:p>
    <w:p>
      <w:pPr>
        <w:ind w:left="580" w:right="20" w:firstLine="571"/>
        <w:spacing w:after="0" w:line="283" w:lineRule="auto"/>
        <w:tabs>
          <w:tab w:leader="none" w:pos="1388"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143" w:lineRule="exact"/>
        <w:rPr>
          <w:rFonts w:ascii="Times New Roman" w:cs="Times New Roman" w:eastAsia="Times New Roman" w:hAnsi="Times New Roman"/>
          <w:sz w:val="16"/>
          <w:szCs w:val="16"/>
          <w:color w:val="auto"/>
        </w:rPr>
      </w:pPr>
    </w:p>
    <w:p>
      <w:pPr>
        <w:ind w:right="20" w:firstLine="573"/>
        <w:spacing w:after="0" w:line="283" w:lineRule="auto"/>
        <w:tabs>
          <w:tab w:leader="none" w:pos="7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Times New Roman" w:cs="Times New Roman" w:eastAsia="Times New Roman" w:hAnsi="Times New Roman"/>
          <w:sz w:val="16"/>
          <w:szCs w:val="16"/>
          <w:color w:val="auto"/>
        </w:rPr>
      </w:pPr>
    </w:p>
    <w:p>
      <w:pPr>
        <w:ind w:left="580" w:right="20" w:firstLine="571"/>
        <w:spacing w:after="0" w:line="283" w:lineRule="auto"/>
        <w:tabs>
          <w:tab w:leader="none" w:pos="1372"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580" w:right="20" w:firstLine="571"/>
        <w:spacing w:after="0" w:line="283" w:lineRule="auto"/>
        <w:tabs>
          <w:tab w:leader="none" w:pos="139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14, 2024</w:t>
      </w:r>
    </w:p>
    <w:p>
      <w:pPr>
        <w:spacing w:after="0" w:line="19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Norman E. Snyder, Jr.</w:t>
      </w:r>
    </w:p>
    <w:p>
      <w:pPr>
        <w:spacing w:after="0" w:line="34"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-113030</wp:posOffset>
            </wp:positionV>
            <wp:extent cx="356616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3566160" cy="7620"/>
                    </a:xfrm>
                    <a:prstGeom prst="rect">
                      <a:avLst/>
                    </a:prstGeom>
                    <a:noFill/>
                  </pic:spPr>
                </pic:pic>
              </a:graphicData>
            </a:graphic>
          </wp:anchor>
        </w:drawing>
      </w:r>
    </w:p>
    <w:p>
      <w:pPr>
        <w:spacing w:after="0" w:line="5"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249555</wp:posOffset>
            </wp:positionV>
            <wp:extent cx="71475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Joann Tinnelly, certify that:</w:t>
      </w:r>
    </w:p>
    <w:p>
      <w:pPr>
        <w:spacing w:after="0" w:line="201" w:lineRule="exact"/>
        <w:rPr>
          <w:sz w:val="20"/>
          <w:szCs w:val="20"/>
          <w:color w:val="auto"/>
        </w:rPr>
      </w:pPr>
    </w:p>
    <w:p>
      <w:pPr>
        <w:ind w:left="740" w:hanging="167"/>
        <w:spacing w:after="0"/>
        <w:tabs>
          <w:tab w:leader="none" w:pos="7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Reed’s, Inc.;</w:t>
      </w:r>
    </w:p>
    <w:p>
      <w:pPr>
        <w:spacing w:after="0" w:line="200" w:lineRule="exact"/>
        <w:rPr>
          <w:rFonts w:ascii="Times New Roman" w:cs="Times New Roman" w:eastAsia="Times New Roman" w:hAnsi="Times New Roman"/>
          <w:sz w:val="16"/>
          <w:szCs w:val="16"/>
          <w:color w:val="auto"/>
        </w:rPr>
      </w:pPr>
    </w:p>
    <w:p>
      <w:pPr>
        <w:ind w:right="20" w:firstLine="573"/>
        <w:spacing w:after="0" w:line="283" w:lineRule="auto"/>
        <w:tabs>
          <w:tab w:leader="none" w:pos="73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6"/>
          <w:szCs w:val="16"/>
          <w:color w:val="auto"/>
        </w:rPr>
      </w:pPr>
    </w:p>
    <w:p>
      <w:pPr>
        <w:ind w:right="20" w:firstLine="573"/>
        <w:spacing w:after="0" w:line="283" w:lineRule="auto"/>
        <w:tabs>
          <w:tab w:leader="none" w:pos="76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Times New Roman" w:cs="Times New Roman" w:eastAsia="Times New Roman" w:hAnsi="Times New Roman"/>
          <w:sz w:val="16"/>
          <w:szCs w:val="16"/>
          <w:color w:val="auto"/>
        </w:rPr>
      </w:pPr>
    </w:p>
    <w:p>
      <w:pPr>
        <w:ind w:left="740" w:hanging="167"/>
        <w:spacing w:after="0"/>
        <w:tabs>
          <w:tab w:leader="none" w:pos="7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84" w:lineRule="exact"/>
        <w:rPr>
          <w:rFonts w:ascii="Times New Roman" w:cs="Times New Roman" w:eastAsia="Times New Roman" w:hAnsi="Times New Roman"/>
          <w:sz w:val="16"/>
          <w:szCs w:val="16"/>
          <w:color w:val="auto"/>
        </w:rPr>
      </w:pPr>
    </w:p>
    <w:p>
      <w:pPr>
        <w:jc w:val="both"/>
        <w:ind w:left="580" w:right="20" w:firstLine="571"/>
        <w:spacing w:after="0" w:line="267" w:lineRule="auto"/>
        <w:tabs>
          <w:tab w:leader="none" w:pos="1377"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6"/>
          <w:szCs w:val="16"/>
          <w:color w:val="auto"/>
        </w:rPr>
      </w:pPr>
    </w:p>
    <w:p>
      <w:pPr>
        <w:jc w:val="both"/>
        <w:ind w:left="580" w:firstLine="571"/>
        <w:spacing w:after="0" w:line="267" w:lineRule="auto"/>
        <w:tabs>
          <w:tab w:leader="none" w:pos="139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6"/>
          <w:szCs w:val="16"/>
          <w:color w:val="auto"/>
        </w:rPr>
      </w:pPr>
    </w:p>
    <w:p>
      <w:pPr>
        <w:ind w:left="580" w:right="20" w:firstLine="571"/>
        <w:spacing w:after="0" w:line="283" w:lineRule="auto"/>
        <w:tabs>
          <w:tab w:leader="none" w:pos="1384"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6"/>
          <w:szCs w:val="16"/>
          <w:color w:val="auto"/>
        </w:rPr>
      </w:pPr>
    </w:p>
    <w:p>
      <w:pPr>
        <w:ind w:left="580" w:right="20" w:firstLine="571"/>
        <w:spacing w:after="0" w:line="283" w:lineRule="auto"/>
        <w:tabs>
          <w:tab w:leader="none" w:pos="1388"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143" w:lineRule="exact"/>
        <w:rPr>
          <w:rFonts w:ascii="Times New Roman" w:cs="Times New Roman" w:eastAsia="Times New Roman" w:hAnsi="Times New Roman"/>
          <w:sz w:val="16"/>
          <w:szCs w:val="16"/>
          <w:color w:val="auto"/>
        </w:rPr>
      </w:pPr>
    </w:p>
    <w:p>
      <w:pPr>
        <w:ind w:right="20" w:firstLine="573"/>
        <w:spacing w:after="0" w:line="283" w:lineRule="auto"/>
        <w:tabs>
          <w:tab w:leader="none" w:pos="7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Times New Roman" w:cs="Times New Roman" w:eastAsia="Times New Roman" w:hAnsi="Times New Roman"/>
          <w:sz w:val="16"/>
          <w:szCs w:val="16"/>
          <w:color w:val="auto"/>
        </w:rPr>
      </w:pPr>
    </w:p>
    <w:p>
      <w:pPr>
        <w:ind w:left="580" w:right="20" w:firstLine="571"/>
        <w:spacing w:after="0" w:line="283" w:lineRule="auto"/>
        <w:tabs>
          <w:tab w:leader="none" w:pos="1372"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580" w:right="20" w:firstLine="571"/>
        <w:spacing w:after="0" w:line="283" w:lineRule="auto"/>
        <w:tabs>
          <w:tab w:leader="none" w:pos="139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14, 2024</w:t>
      </w:r>
    </w:p>
    <w:p>
      <w:pPr>
        <w:spacing w:after="0" w:line="19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Joann Tinnelly</w:t>
      </w:r>
    </w:p>
    <w:p>
      <w:pPr>
        <w:spacing w:after="0" w:line="34"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6"/>
          <w:szCs w:val="16"/>
          <w:color w:val="auto"/>
        </w:rPr>
        <w:t>Name:</w:t>
        <w:tab/>
        <w:t>Joann Tinnelly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-113030</wp:posOffset>
            </wp:positionV>
            <wp:extent cx="356616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3566160" cy="7620"/>
                    </a:xfrm>
                    <a:prstGeom prst="rect">
                      <a:avLst/>
                    </a:prstGeom>
                    <a:noFill/>
                  </pic:spPr>
                </pic:pic>
              </a:graphicData>
            </a:graphic>
          </wp:anchor>
        </w:drawing>
      </w:r>
    </w:p>
    <w:p>
      <w:pPr>
        <w:spacing w:after="0" w:line="5"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14756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33" w:name="page34"/>
    <w:bookmarkEnd w:id="33"/>
    <w:p>
      <w:pPr>
        <w:ind w:left="10360"/>
        <w:spacing w:after="0"/>
        <w:rPr>
          <w:sz w:val="20"/>
          <w:szCs w:val="20"/>
          <w:color w:val="auto"/>
        </w:rPr>
      </w:pPr>
      <w:r>
        <w:rPr>
          <w:rFonts w:ascii="Times New Roman" w:cs="Times New Roman" w:eastAsia="Times New Roman" w:hAnsi="Times New Roman"/>
          <w:sz w:val="15"/>
          <w:szCs w:val="15"/>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Pursuant to 18 U.S.C. Section 1350 as Adopted Pursuant to Section 906 of the Sarbanes-Oxley Act of 2002</w:t>
      </w:r>
    </w:p>
    <w:p>
      <w:pPr>
        <w:spacing w:after="0" w:line="20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Pursuant to 18 U.S.C. Section 1350, as adopted pursuant to Section 906 of the Sarbanes-Oxley Act of 2002, I, Norman E. Snyder, Jr., the Chief Executive Officer of Reed’s,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hereby certify, that, to my knowledge:</w:t>
      </w:r>
    </w:p>
    <w:p>
      <w:pPr>
        <w:spacing w:after="0" w:line="141" w:lineRule="exact"/>
        <w:rPr>
          <w:sz w:val="20"/>
          <w:szCs w:val="20"/>
          <w:color w:val="auto"/>
        </w:rPr>
      </w:pPr>
    </w:p>
    <w:p>
      <w:pPr>
        <w:ind w:firstLine="573"/>
        <w:spacing w:after="0" w:line="285" w:lineRule="auto"/>
        <w:tabs>
          <w:tab w:leader="none" w:pos="74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for the quarterly period ended September 30, 2024 (the “</w:t>
      </w:r>
      <w:r>
        <w:rPr>
          <w:rFonts w:ascii="Times New Roman" w:cs="Times New Roman" w:eastAsia="Times New Roman" w:hAnsi="Times New Roman"/>
          <w:sz w:val="16"/>
          <w:szCs w:val="16"/>
          <w:b w:val="1"/>
          <w:bCs w:val="1"/>
          <w:color w:val="auto"/>
        </w:rPr>
        <w:t>Report</w:t>
      </w:r>
      <w:r>
        <w:rPr>
          <w:rFonts w:ascii="Times New Roman" w:cs="Times New Roman" w:eastAsia="Times New Roman" w:hAnsi="Times New Roman"/>
          <w:sz w:val="16"/>
          <w:szCs w:val="16"/>
          <w:color w:val="auto"/>
        </w:rPr>
        <w:t>”) of the Company fully complies with the requirements of Section 13(a) of the Securities Exchange Act of 1934; and</w:t>
      </w:r>
    </w:p>
    <w:p>
      <w:pPr>
        <w:spacing w:after="0" w:line="142" w:lineRule="exact"/>
        <w:rPr>
          <w:rFonts w:ascii="Times New Roman" w:cs="Times New Roman" w:eastAsia="Times New Roman" w:hAnsi="Times New Roman"/>
          <w:sz w:val="16"/>
          <w:szCs w:val="16"/>
          <w:color w:val="auto"/>
        </w:rPr>
      </w:pPr>
    </w:p>
    <w:p>
      <w:pPr>
        <w:ind w:left="740" w:hanging="167"/>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14, 2024</w:t>
      </w:r>
    </w:p>
    <w:p>
      <w:pPr>
        <w:spacing w:after="0" w:line="19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Norman E. Snyder, Jr.</w:t>
      </w:r>
    </w:p>
    <w:p>
      <w:pPr>
        <w:spacing w:after="0" w:line="34"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-113030</wp:posOffset>
            </wp:positionV>
            <wp:extent cx="356616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3566160" cy="7620"/>
                    </a:xfrm>
                    <a:prstGeom prst="rect">
                      <a:avLst/>
                    </a:prstGeom>
                    <a:noFill/>
                  </pic:spPr>
                </pic:pic>
              </a:graphicData>
            </a:graphic>
          </wp:anchor>
        </w:drawing>
      </w:r>
    </w:p>
    <w:p>
      <w:pPr>
        <w:spacing w:after="0" w:line="5"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249555</wp:posOffset>
            </wp:positionV>
            <wp:extent cx="714756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 Pursuant to 18 U.S.C. Section 1350 as Adopted Pursuant to Section 906 of the Sarbanes-Oxley Act of 2002</w:t>
      </w:r>
    </w:p>
    <w:p>
      <w:pPr>
        <w:spacing w:after="0" w:line="20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Pursuant to 18 U.S.C. Section 1350, as adopted pursuant to Section 906 of the Sarbanes-Oxley Act of 2002, I, Joann Tinnelly, the Chief Financial Officer of Reed’s,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hereby certify, that, to my knowledge:</w:t>
      </w:r>
    </w:p>
    <w:p>
      <w:pPr>
        <w:spacing w:after="0" w:line="141" w:lineRule="exact"/>
        <w:rPr>
          <w:sz w:val="20"/>
          <w:szCs w:val="20"/>
          <w:color w:val="auto"/>
        </w:rPr>
      </w:pPr>
    </w:p>
    <w:p>
      <w:pPr>
        <w:ind w:firstLine="573"/>
        <w:spacing w:after="0" w:line="285" w:lineRule="auto"/>
        <w:tabs>
          <w:tab w:leader="none" w:pos="74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for the quarterly period ended September 30, 2024 (the “</w:t>
      </w:r>
      <w:r>
        <w:rPr>
          <w:rFonts w:ascii="Times New Roman" w:cs="Times New Roman" w:eastAsia="Times New Roman" w:hAnsi="Times New Roman"/>
          <w:sz w:val="16"/>
          <w:szCs w:val="16"/>
          <w:b w:val="1"/>
          <w:bCs w:val="1"/>
          <w:color w:val="auto"/>
        </w:rPr>
        <w:t>Report</w:t>
      </w:r>
      <w:r>
        <w:rPr>
          <w:rFonts w:ascii="Times New Roman" w:cs="Times New Roman" w:eastAsia="Times New Roman" w:hAnsi="Times New Roman"/>
          <w:sz w:val="16"/>
          <w:szCs w:val="16"/>
          <w:color w:val="auto"/>
        </w:rPr>
        <w:t>”) of the Company fully complies with the requirements of Section 13(a) of the Securities Exchange Act of 1934; and</w:t>
      </w:r>
    </w:p>
    <w:p>
      <w:pPr>
        <w:spacing w:after="0" w:line="142" w:lineRule="exact"/>
        <w:rPr>
          <w:rFonts w:ascii="Times New Roman" w:cs="Times New Roman" w:eastAsia="Times New Roman" w:hAnsi="Times New Roman"/>
          <w:sz w:val="16"/>
          <w:szCs w:val="16"/>
          <w:color w:val="auto"/>
        </w:rPr>
      </w:pPr>
    </w:p>
    <w:p>
      <w:pPr>
        <w:ind w:left="740" w:hanging="167"/>
        <w:spacing w:after="0"/>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14, 2024</w:t>
      </w:r>
    </w:p>
    <w:p>
      <w:pPr>
        <w:spacing w:after="0" w:line="19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Joann Tinnelly</w:t>
      </w:r>
    </w:p>
    <w:p>
      <w:pPr>
        <w:spacing w:after="0" w:line="34"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6"/>
          <w:szCs w:val="16"/>
          <w:color w:val="auto"/>
        </w:rPr>
        <w:t>Name:</w:t>
        <w:tab/>
        <w:t>Joann Tinnelly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-113030</wp:posOffset>
            </wp:positionV>
            <wp:extent cx="356616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3566160" cy="7620"/>
                    </a:xfrm>
                    <a:prstGeom prst="rect">
                      <a:avLst/>
                    </a:prstGeom>
                    <a:noFill/>
                  </pic:spPr>
                </pic:pic>
              </a:graphicData>
            </a:graphic>
          </wp:anchor>
        </w:drawing>
      </w:r>
    </w:p>
    <w:p>
      <w:pPr>
        <w:spacing w:after="0" w:line="5"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249555</wp:posOffset>
            </wp:positionV>
            <wp:extent cx="714756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sectPr>
      <w:pgSz w:w="11900" w:h="16838" w:orient="portrait"/>
      <w:cols w:equalWidth="0" w:num="1">
        <w:col w:w="11240"/>
      </w:cols>
      <w:pgMar w:left="320" w:top="6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upperLetter"/>
      <w:start w:val="1"/>
    </w:lvl>
  </w:abstractNum>
  <w:abstractNum w:abstractNumId="3">
    <w:nsid w:val="4DB127F8"/>
    <w:multiLevelType w:val="hybridMultilevel"/>
    <w:lvl w:ilvl="0">
      <w:lvlJc w:val="left"/>
      <w:lvlText w:val="(%1)"/>
      <w:numFmt w:val="upperLetter"/>
      <w:start w:val="2"/>
    </w:lvl>
  </w:abstractNum>
  <w:abstractNum w:abstractNumId="4">
    <w:nsid w:val="216231B"/>
    <w:multiLevelType w:val="hybridMultilevel"/>
    <w:lvl w:ilvl="0">
      <w:lvlJc w:val="left"/>
      <w:lvlText w:val="%1."/>
      <w:numFmt w:val="decimal"/>
      <w:start w:val="13"/>
    </w:lvl>
    <w:lvl w:ilvl="1">
      <w:lvlJc w:val="left"/>
      <w:lvlText w:val="%2)"/>
      <w:numFmt w:val="lowerLetter"/>
      <w:start w:val="1"/>
    </w:lvl>
  </w:abstractNum>
  <w:abstractNum w:abstractNumId="5">
    <w:nsid w:val="1F16E9E8"/>
    <w:multiLevelType w:val="hybridMultilevel"/>
    <w:lvl w:ilvl="0">
      <w:lvlJc w:val="left"/>
      <w:lvlText w:val="(%1)"/>
      <w:numFmt w:val="upperLetter"/>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upperLetter"/>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31"/>
    </w:lvl>
  </w:abstractNum>
  <w:abstractNum w:abstractNumId="11">
    <w:nsid w:val="DED7263"/>
    <w:multiLevelType w:val="hybridMultilevel"/>
    <w:lvl w:ilvl="0">
      <w:lvlJc w:val="left"/>
      <w:lvlText w:val="%1"/>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36" Type="http://schemas.openxmlformats.org/officeDocument/2006/relationships/hyperlink" Target="https://www.sec.gov/Archives/edgar/data/1140215/000149315223017571/ex3i.htm" TargetMode="External"/><Relationship Id="rId37" Type="http://schemas.openxmlformats.org/officeDocument/2006/relationships/hyperlink" Target="https://www.sec.gov/Archives/edgar/data/1140215/000149315220006033/ex3-8.htm" TargetMode="External"/><Relationship Id="rId38" Type="http://schemas.openxmlformats.org/officeDocument/2006/relationships/hyperlink" Target="https://www.sec.gov/Archives/edgar/data/1140215/000149315224031590/ex4-1.htm" TargetMode="External"/><Relationship Id="rId39" Type="http://schemas.openxmlformats.org/officeDocument/2006/relationships/hyperlink" Target="https://www.sec.gov/Archives/edgar/data/1140215/000149315224031590/ex10-1.htm" TargetMode="External"/><Relationship Id="rId40" Type="http://schemas.openxmlformats.org/officeDocument/2006/relationships/hyperlink" Target="https://www.sec.gov/Archives/edgar/data/1140215/000149315224036242/ex10-1.htm" TargetMode="External"/><Relationship Id="rId41" Type="http://schemas.openxmlformats.org/officeDocument/2006/relationships/hyperlink" Target="https://www.sec.gov/Archives/edgar/data/1140215/000149315224036242/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2024-11-14T15:12:40Z</dcterms:created>
  <dcterms:modified xsi:type="dcterms:W3CDTF">2024-11-14T15:12:40Z</dcterms:modified>
</cp:coreProperties>
</file>