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jc w:val="center"/>
        <w:ind w:left="3940" w:right="1480" w:hanging="2451"/>
        <w:spacing w:after="0" w:line="481" w:lineRule="auto"/>
        <w:tabs>
          <w:tab w:leader="none" w:pos="17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March 31, 2021</w:t>
      </w:r>
    </w:p>
    <w:p>
      <w:pPr>
        <w:spacing w:after="0" w:line="34" w:lineRule="exact"/>
        <w:rPr>
          <w:sz w:val="24"/>
          <w:szCs w:val="24"/>
          <w:color w:val="auto"/>
        </w:rPr>
      </w:pPr>
    </w:p>
    <w:p>
      <w:pPr>
        <w:ind w:left="3780" w:right="2000" w:hanging="1768"/>
        <w:spacing w:after="0" w:line="500" w:lineRule="auto"/>
        <w:tabs>
          <w:tab w:leader="none" w:pos="22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001-32501</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391"/>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5"/>
          </w:tcPr>
          <w:p>
            <w:pPr>
              <w:jc w:val="center"/>
              <w:ind w:left="172"/>
              <w:spacing w:after="0"/>
              <w:rPr>
                <w:sz w:val="20"/>
                <w:szCs w:val="20"/>
                <w:color w:val="auto"/>
              </w:rPr>
            </w:pPr>
            <w:r>
              <w:rPr>
                <w:rFonts w:ascii="Arial" w:cs="Arial" w:eastAsia="Arial" w:hAnsi="Arial"/>
                <w:sz w:val="32"/>
                <w:szCs w:val="32"/>
                <w:b w:val="1"/>
                <w:bCs w:val="1"/>
                <w:color w:val="auto"/>
              </w:rPr>
              <w:t>REED’S, INC.</w:t>
            </w:r>
          </w:p>
        </w:tc>
        <w:tc>
          <w:tcPr>
            <w:tcW w:w="432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7740" w:type="dxa"/>
            <w:vAlign w:val="bottom"/>
            <w:gridSpan w:val="8"/>
          </w:tcPr>
          <w:p>
            <w:pPr>
              <w:jc w:val="center"/>
              <w:ind w:right="34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9"/>
        </w:trPr>
        <w:tc>
          <w:tcPr>
            <w:tcW w:w="3500" w:type="dxa"/>
            <w:vAlign w:val="bottom"/>
            <w:tcBorders>
              <w:bottom w:val="single" w:sz="8" w:color="auto"/>
            </w:tcBorders>
          </w:tcPr>
          <w:p>
            <w:pPr>
              <w:jc w:val="center"/>
              <w:ind w:left="1930"/>
              <w:spacing w:after="0"/>
              <w:rPr>
                <w:sz w:val="20"/>
                <w:szCs w:val="20"/>
                <w:color w:val="auto"/>
              </w:rPr>
            </w:pPr>
            <w:r>
              <w:rPr>
                <w:rFonts w:ascii="Arial" w:cs="Arial" w:eastAsia="Arial" w:hAnsi="Arial"/>
                <w:sz w:val="18"/>
                <w:szCs w:val="18"/>
                <w:color w:val="auto"/>
                <w:w w:val="89"/>
              </w:rPr>
              <w:t>Delaware</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center"/>
              <w:ind w:right="1090"/>
              <w:spacing w:after="0"/>
              <w:rPr>
                <w:sz w:val="20"/>
                <w:szCs w:val="20"/>
                <w:color w:val="auto"/>
              </w:rPr>
            </w:pPr>
            <w:r>
              <w:rPr>
                <w:rFonts w:ascii="Arial" w:cs="Arial" w:eastAsia="Arial" w:hAnsi="Arial"/>
                <w:sz w:val="18"/>
                <w:szCs w:val="18"/>
                <w:color w:val="auto"/>
                <w:w w:val="89"/>
              </w:rPr>
              <w:t>35-2177773</w:t>
            </w:r>
          </w:p>
        </w:tc>
      </w:tr>
      <w:tr>
        <w:trPr>
          <w:trHeight w:val="202"/>
        </w:trPr>
        <w:tc>
          <w:tcPr>
            <w:tcW w:w="3500" w:type="dxa"/>
            <w:vAlign w:val="bottom"/>
          </w:tcPr>
          <w:p>
            <w:pPr>
              <w:jc w:val="center"/>
              <w:ind w:left="1930"/>
              <w:spacing w:after="0" w:line="201" w:lineRule="exact"/>
              <w:rPr>
                <w:sz w:val="20"/>
                <w:szCs w:val="20"/>
                <w:color w:val="auto"/>
              </w:rPr>
            </w:pPr>
            <w:r>
              <w:rPr>
                <w:rFonts w:ascii="Arial" w:cs="Arial" w:eastAsia="Arial" w:hAnsi="Arial"/>
                <w:sz w:val="18"/>
                <w:szCs w:val="18"/>
                <w:color w:val="auto"/>
                <w:w w:val="88"/>
              </w:rPr>
              <w:t>(State of</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tcPr>
          <w:p>
            <w:pPr>
              <w:jc w:val="center"/>
              <w:ind w:right="10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500" w:type="dxa"/>
            <w:vAlign w:val="bottom"/>
          </w:tcPr>
          <w:p>
            <w:pPr>
              <w:jc w:val="center"/>
              <w:ind w:left="1930"/>
              <w:spacing w:after="0"/>
              <w:rPr>
                <w:sz w:val="20"/>
                <w:szCs w:val="20"/>
                <w:color w:val="auto"/>
              </w:rPr>
            </w:pPr>
            <w:r>
              <w:rPr>
                <w:rFonts w:ascii="Arial" w:cs="Arial" w:eastAsia="Arial" w:hAnsi="Arial"/>
                <w:sz w:val="18"/>
                <w:szCs w:val="18"/>
                <w:color w:val="auto"/>
                <w:w w:val="94"/>
              </w:rPr>
              <w:t>incorporation)</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320" w:type="dxa"/>
            <w:vAlign w:val="bottom"/>
          </w:tcPr>
          <w:p>
            <w:pPr>
              <w:jc w:val="center"/>
              <w:ind w:right="10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5"/>
          </w:tcPr>
          <w:p>
            <w:pPr>
              <w:jc w:val="center"/>
              <w:ind w:left="172"/>
              <w:spacing w:after="0"/>
              <w:rPr>
                <w:sz w:val="20"/>
                <w:szCs w:val="20"/>
                <w:color w:val="auto"/>
              </w:rPr>
            </w:pPr>
            <w:r>
              <w:rPr>
                <w:rFonts w:ascii="Arial" w:cs="Arial" w:eastAsia="Arial" w:hAnsi="Arial"/>
                <w:sz w:val="18"/>
                <w:szCs w:val="18"/>
                <w:color w:val="auto"/>
                <w:w w:val="94"/>
              </w:rPr>
              <w:t>201 Merritt 7, Norwalk, CT. 06851</w:t>
            </w:r>
          </w:p>
        </w:tc>
        <w:tc>
          <w:tcPr>
            <w:tcW w:w="432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7740" w:type="dxa"/>
            <w:vAlign w:val="bottom"/>
            <w:gridSpan w:val="8"/>
          </w:tcPr>
          <w:p>
            <w:pPr>
              <w:jc w:val="center"/>
              <w:ind w:right="339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3500" w:type="dxa"/>
            <w:vAlign w:val="bottom"/>
          </w:tcPr>
          <w:p>
            <w:pPr>
              <w:spacing w:after="0"/>
              <w:rPr>
                <w:sz w:val="24"/>
                <w:szCs w:val="24"/>
                <w:color w:val="auto"/>
              </w:rPr>
            </w:pPr>
          </w:p>
        </w:tc>
        <w:tc>
          <w:tcPr>
            <w:tcW w:w="3420" w:type="dxa"/>
            <w:vAlign w:val="bottom"/>
            <w:gridSpan w:val="7"/>
          </w:tcPr>
          <w:p>
            <w:pPr>
              <w:jc w:val="center"/>
              <w:ind w:left="730"/>
              <w:spacing w:after="0"/>
              <w:rPr>
                <w:sz w:val="20"/>
                <w:szCs w:val="20"/>
                <w:color w:val="auto"/>
              </w:rPr>
            </w:pPr>
            <w:r>
              <w:rPr>
                <w:rFonts w:ascii="Arial" w:cs="Arial" w:eastAsia="Arial" w:hAnsi="Arial"/>
                <w:sz w:val="18"/>
                <w:szCs w:val="18"/>
                <w:color w:val="auto"/>
                <w:w w:val="90"/>
              </w:rPr>
              <w:t>(800) 997-3337</w:t>
            </w:r>
          </w:p>
        </w:tc>
        <w:tc>
          <w:tcPr>
            <w:tcW w:w="432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7740" w:type="dxa"/>
            <w:vAlign w:val="bottom"/>
            <w:gridSpan w:val="8"/>
          </w:tcPr>
          <w:p>
            <w:pPr>
              <w:jc w:val="center"/>
              <w:ind w:right="3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692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320" w:type="dxa"/>
            <w:vAlign w:val="bottom"/>
          </w:tcPr>
          <w:p>
            <w:pPr>
              <w:spacing w:after="0"/>
              <w:rPr>
                <w:sz w:val="24"/>
                <w:szCs w:val="24"/>
                <w:color w:val="auto"/>
              </w:rPr>
            </w:pPr>
          </w:p>
        </w:tc>
      </w:tr>
      <w:tr>
        <w:trPr>
          <w:trHeight w:val="439"/>
        </w:trPr>
        <w:tc>
          <w:tcPr>
            <w:tcW w:w="35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Title of Each Class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5"/>
          </w:tcPr>
          <w:p>
            <w:pPr>
              <w:jc w:val="center"/>
              <w:ind w:right="1060"/>
              <w:spacing w:after="0"/>
              <w:rPr>
                <w:sz w:val="20"/>
                <w:szCs w:val="20"/>
                <w:color w:val="auto"/>
              </w:rPr>
            </w:pPr>
            <w:r>
              <w:rPr>
                <w:rFonts w:ascii="Arial" w:cs="Arial" w:eastAsia="Arial" w:hAnsi="Arial"/>
                <w:sz w:val="18"/>
                <w:szCs w:val="18"/>
                <w:b w:val="1"/>
                <w:bCs w:val="1"/>
                <w:color w:val="auto"/>
                <w:w w:val="91"/>
              </w:rPr>
              <w:t>Trading Symbol</w:t>
            </w:r>
          </w:p>
        </w:tc>
        <w:tc>
          <w:tcPr>
            <w:tcW w:w="4320" w:type="dxa"/>
            <w:vAlign w:val="bottom"/>
          </w:tcPr>
          <w:p>
            <w:pPr>
              <w:jc w:val="center"/>
              <w:ind w:right="750"/>
              <w:spacing w:after="0"/>
              <w:rPr>
                <w:sz w:val="20"/>
                <w:szCs w:val="20"/>
                <w:color w:val="auto"/>
              </w:rPr>
            </w:pPr>
            <w:r>
              <w:rPr>
                <w:rFonts w:ascii="Arial" w:cs="Arial" w:eastAsia="Arial" w:hAnsi="Arial"/>
                <w:sz w:val="18"/>
                <w:szCs w:val="18"/>
                <w:b w:val="1"/>
                <w:bCs w:val="1"/>
                <w:color w:val="auto"/>
                <w:w w:val="87"/>
              </w:rPr>
              <w:t>Names of each exchange on which registered</w:t>
            </w:r>
          </w:p>
        </w:tc>
      </w:tr>
      <w:tr>
        <w:trPr>
          <w:trHeight w:val="230"/>
        </w:trPr>
        <w:tc>
          <w:tcPr>
            <w:tcW w:w="3500" w:type="dxa"/>
            <w:vAlign w:val="bottom"/>
            <w:tcBorders>
              <w:top w:val="single" w:sz="8" w:color="auto"/>
            </w:tcBorders>
          </w:tcPr>
          <w:p>
            <w:pPr>
              <w:jc w:val="center"/>
              <w:ind w:left="250"/>
              <w:spacing w:after="0"/>
              <w:rPr>
                <w:sz w:val="20"/>
                <w:szCs w:val="20"/>
                <w:color w:val="auto"/>
              </w:rPr>
            </w:pPr>
            <w:r>
              <w:rPr>
                <w:rFonts w:ascii="Arial" w:cs="Arial" w:eastAsia="Arial" w:hAnsi="Arial"/>
                <w:sz w:val="18"/>
                <w:szCs w:val="18"/>
                <w:color w:val="auto"/>
                <w:w w:val="90"/>
              </w:rPr>
              <w:t>Common Stock</w:t>
            </w:r>
          </w:p>
        </w:tc>
        <w:tc>
          <w:tcPr>
            <w:tcW w:w="3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5"/>
              </w:rPr>
              <w:t>REED</w:t>
            </w:r>
          </w:p>
        </w:tc>
        <w:tc>
          <w:tcPr>
            <w:tcW w:w="2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32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9"/>
              </w:rPr>
              <w:t>NASDAQ</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There were a total of 93,584,380 shares of Common Stock outstanding as of May 11, 2021.</w:t>
      </w:r>
    </w:p>
    <w:p>
      <w:pPr>
        <w:spacing w:after="0" w:line="170"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60" w:type="dxa"/>
            <w:vAlign w:val="bottom"/>
          </w:tcPr>
          <w:p>
            <w:pPr>
              <w:ind w:left="5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720" w:type="dxa"/>
            <w:vAlign w:val="bottom"/>
          </w:tcPr>
          <w:p>
            <w:pPr>
              <w:ind w:left="560"/>
              <w:spacing w:after="0"/>
              <w:rPr>
                <w:sz w:val="20"/>
                <w:szCs w:val="20"/>
                <w:color w:val="auto"/>
              </w:rPr>
            </w:pPr>
            <w:r>
              <w:rPr>
                <w:rFonts w:ascii="Arial" w:cs="Arial" w:eastAsia="Arial" w:hAnsi="Arial"/>
                <w:sz w:val="18"/>
                <w:szCs w:val="18"/>
                <w:color w:val="auto"/>
                <w:w w:val="91"/>
              </w:rPr>
              <w:t>Non-Accelerated Filer (do not check if Smaller Reporting</w:t>
            </w:r>
          </w:p>
        </w:tc>
        <w:tc>
          <w:tcPr>
            <w:tcW w:w="0" w:type="dxa"/>
            <w:vAlign w:val="bottom"/>
          </w:tcPr>
          <w:p>
            <w:pPr>
              <w:spacing w:after="0"/>
              <w:rPr>
                <w:sz w:val="1"/>
                <w:szCs w:val="1"/>
                <w:color w:val="auto"/>
              </w:rPr>
            </w:pPr>
          </w:p>
        </w:tc>
      </w:tr>
      <w:tr>
        <w:trPr>
          <w:trHeight w:val="283"/>
        </w:trPr>
        <w:tc>
          <w:tcPr>
            <w:tcW w:w="28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3360" w:type="dxa"/>
            <w:vAlign w:val="bottom"/>
            <w:vMerge w:val="restart"/>
          </w:tcPr>
          <w:p>
            <w:pPr>
              <w:ind w:left="5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472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issuer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gridSpan w:val="8"/>
          </w:tcPr>
          <w:p>
            <w:pPr>
              <w:jc w:val="center"/>
              <w:ind w:right="182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8"/>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Financial Statements</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8"/>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 March 31, 2021 and December 31, 2020</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8"/>
              </w:rPr>
              <w:t>F-1</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Statements of Operations for the three months ended March 31, 2021 and 2020</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Statements of Changes in Stockholders’ Equity (Deficit) for the three months ended March 31, 2021 and 2020</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8"/>
              </w:rPr>
              <w:t>F-3</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Statements of Cash Flows for the three months ended March 31, 2021 and 2020</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8"/>
              </w:rPr>
              <w:t>F-4</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8"/>
              </w:rPr>
              <w:t>F-5</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About Market Risk</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 Controls and Procedures</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 - OTHER INFORMATION</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 Legal Proceedings</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 Risk Factors</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 Unregistered Sales of Equity Securities and Use of Proceeds</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 Defaults Upon Senior Securities</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 Mine Safety Disclosures</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 Other Information</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988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 Exhibits</w:t>
              </w:r>
            </w:hyperlink>
          </w:p>
        </w:tc>
        <w:tc>
          <w:tcPr>
            <w:tcW w:w="136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79"/>
              </w:rPr>
              <w:t>8</w:t>
            </w:r>
          </w:p>
        </w:tc>
      </w:tr>
      <w:tr>
        <w:trPr>
          <w:trHeight w:val="466"/>
        </w:trPr>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700" w:type="dxa"/>
            <w:vAlign w:val="bottom"/>
            <w:tcBorders>
              <w:top w:val="single" w:sz="8" w:color="CCEEFF"/>
              <w:bottom w:val="single" w:sz="8" w:color="auto"/>
            </w:tcBorders>
            <w:gridSpan w:val="5"/>
          </w:tcPr>
          <w:p>
            <w:pPr>
              <w:jc w:val="center"/>
              <w:ind w:right="3800"/>
              <w:spacing w:after="0"/>
              <w:rPr>
                <w:sz w:val="20"/>
                <w:szCs w:val="20"/>
                <w:color w:val="auto"/>
              </w:rPr>
            </w:pPr>
            <w:r>
              <w:rPr>
                <w:rFonts w:ascii="Arial" w:cs="Arial" w:eastAsia="Arial" w:hAnsi="Arial"/>
                <w:sz w:val="18"/>
                <w:szCs w:val="18"/>
                <w:color w:val="auto"/>
              </w:rPr>
              <w:t>i</w:t>
            </w:r>
          </w:p>
        </w:tc>
        <w:tc>
          <w:tcPr>
            <w:tcW w:w="13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860" w:type="dxa"/>
            <w:vAlign w:val="bottom"/>
          </w:tcPr>
          <w:p>
            <w:pPr>
              <w:jc w:val="center"/>
              <w:ind w:left="4290"/>
              <w:spacing w:after="0"/>
              <w:rPr>
                <w:sz w:val="20"/>
                <w:szCs w:val="20"/>
                <w:color w:val="auto"/>
              </w:rPr>
            </w:pPr>
            <w:r>
              <w:rPr>
                <w:rFonts w:ascii="Arial" w:cs="Arial" w:eastAsia="Arial" w:hAnsi="Arial"/>
                <w:sz w:val="18"/>
                <w:szCs w:val="18"/>
                <w:b w:val="1"/>
                <w:bCs w:val="1"/>
                <w:color w:val="auto"/>
                <w:w w:val="99"/>
              </w:rPr>
              <w:t>REED’S INC.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220" w:type="dxa"/>
            <w:vAlign w:val="bottom"/>
            <w:gridSpan w:val="3"/>
          </w:tcPr>
          <w:p>
            <w:pPr>
              <w:jc w:val="center"/>
              <w:ind w:left="3930"/>
              <w:spacing w:after="0"/>
              <w:rPr>
                <w:sz w:val="20"/>
                <w:szCs w:val="20"/>
                <w:color w:val="auto"/>
              </w:rPr>
            </w:pPr>
            <w:r>
              <w:rPr>
                <w:rFonts w:ascii="Arial" w:cs="Arial" w:eastAsia="Arial" w:hAnsi="Arial"/>
                <w:sz w:val="18"/>
                <w:szCs w:val="18"/>
                <w:b w:val="1"/>
                <w:bCs w:val="1"/>
                <w:color w:val="auto"/>
                <w:w w:val="98"/>
              </w:rPr>
              <w:t>CONDENSED BALANCE SHEETS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9220" w:type="dxa"/>
            <w:vAlign w:val="bottom"/>
            <w:gridSpan w:val="5"/>
          </w:tcPr>
          <w:p>
            <w:pPr>
              <w:jc w:val="center"/>
              <w:ind w:left="1950"/>
              <w:spacing w:after="0"/>
              <w:rPr>
                <w:sz w:val="20"/>
                <w:szCs w:val="20"/>
                <w:color w:val="auto"/>
              </w:rPr>
            </w:pPr>
            <w:r>
              <w:rPr>
                <w:rFonts w:ascii="Arial" w:cs="Arial" w:eastAsia="Arial" w:hAnsi="Arial"/>
                <w:sz w:val="18"/>
                <w:szCs w:val="18"/>
                <w:b w:val="1"/>
                <w:bCs w:val="1"/>
                <w:color w:val="auto"/>
                <w:w w:val="87"/>
              </w:rPr>
              <w:t>(Amounts in thousands, except share amounts)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 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 2020</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6"/>
              </w:rPr>
              <w:t>Accounts receivable, net of allowance for doubtful accounts and returns and discounts of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$165 and $234,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5,032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4,718</w:t>
            </w:r>
          </w:p>
        </w:tc>
        <w:tc>
          <w:tcPr>
            <w:tcW w:w="8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related party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Inventory, net of reserve for obsolescence of $174 and $194, respectively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12,445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11,119</w:t>
            </w:r>
          </w:p>
        </w:tc>
        <w:tc>
          <w:tcPr>
            <w:tcW w:w="80" w:type="dxa"/>
            <w:vAlign w:val="bottom"/>
          </w:tcPr>
          <w:p>
            <w:pPr>
              <w:spacing w:after="0"/>
              <w:rPr>
                <w:sz w:val="18"/>
                <w:szCs w:val="18"/>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w:t>
            </w:r>
          </w:p>
        </w:tc>
        <w:tc>
          <w:tcPr>
            <w:tcW w:w="80" w:type="dxa"/>
            <w:vAlign w:val="bottom"/>
            <w:shd w:val="clear" w:color="auto" w:fill="CCEEFF"/>
          </w:tcPr>
          <w:p>
            <w:pPr>
              <w:spacing w:after="0"/>
              <w:rPr>
                <w:sz w:val="21"/>
                <w:szCs w:val="21"/>
                <w:color w:val="auto"/>
              </w:rPr>
            </w:pPr>
          </w:p>
        </w:tc>
      </w:tr>
      <w:tr>
        <w:trPr>
          <w:trHeight w:val="203"/>
        </w:trPr>
        <w:tc>
          <w:tcPr>
            <w:tcW w:w="6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20,443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18,455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w w:val="96"/>
              </w:rPr>
              <w:t>Property and equipment, net of accumulated depreciation of $379 and $361, respectively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sale, net of impairment reserves of $96 and $96, respectively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20"/>
                <w:szCs w:val="20"/>
                <w:color w:val="auto"/>
              </w:rPr>
            </w:pPr>
          </w:p>
        </w:tc>
      </w:tr>
      <w:tr>
        <w:trPr>
          <w:trHeight w:val="229"/>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6,746</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Payable to related party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Revolving line of credit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4,256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note payable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8"/>
                <w:szCs w:val="18"/>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Current portion of leases payable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0"/>
                <w:szCs w:val="20"/>
                <w:color w:val="auto"/>
              </w:rPr>
            </w:pP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Leases payable, less current portion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Note payable, less current portion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r>
      <w:tr>
        <w:trPr>
          <w:trHeight w:val="25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6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15,306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9,653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A Convertible Preferred stock, $10 par value, 500,000 shares authorized, 9,411 shares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0"/>
                <w:szCs w:val="20"/>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0"/>
              </w:rPr>
              <w:t>Common stock, $.0001 par value, 120,000,000 shares authorized, 86,807,905 and 86,317,096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shares issued and outstanding,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97,904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97,031</w:t>
            </w:r>
          </w:p>
        </w:tc>
        <w:tc>
          <w:tcPr>
            <w:tcW w:w="80" w:type="dxa"/>
            <w:vAlign w:val="bottom"/>
            <w:shd w:val="clear" w:color="auto" w:fill="CCEEFF"/>
          </w:tcPr>
          <w:p>
            <w:pPr>
              <w:spacing w:after="0"/>
              <w:rPr>
                <w:sz w:val="18"/>
                <w:szCs w:val="18"/>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(91,237)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(86,730)</w:t>
            </w:r>
          </w:p>
        </w:tc>
      </w:tr>
      <w:tr>
        <w:trPr>
          <w:trHeight w:val="236"/>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22,076</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 2020</w:t>
            </w: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8,293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6,653</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w:t>
            </w: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w:t>
            </w: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1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(4,507)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(2,580)</w:t>
            </w:r>
          </w:p>
        </w:tc>
      </w:tr>
      <w:tr>
        <w:trPr>
          <w:trHeight w:val="197"/>
        </w:trPr>
        <w:tc>
          <w:tcPr>
            <w:tcW w:w="51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2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r>
      <w:tr>
        <w:trPr>
          <w:trHeight w:val="196"/>
        </w:trPr>
        <w:tc>
          <w:tcPr>
            <w:tcW w:w="51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w w:val="94"/>
              </w:rPr>
              <w:t>Weighted average number of shares outstanding – basic and diluted</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86,631,304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47,595,206</w:t>
            </w:r>
          </w:p>
        </w:tc>
      </w:tr>
      <w:tr>
        <w:trPr>
          <w:trHeight w:val="418"/>
        </w:trPr>
        <w:tc>
          <w:tcPr>
            <w:tcW w:w="9100" w:type="dxa"/>
            <w:vAlign w:val="bottom"/>
            <w:gridSpan w:val="5"/>
          </w:tcPr>
          <w:p>
            <w:pPr>
              <w:ind w:left="2560"/>
              <w:spacing w:after="0"/>
              <w:rPr>
                <w:sz w:val="20"/>
                <w:szCs w:val="20"/>
                <w:color w:val="auto"/>
              </w:rPr>
            </w:pPr>
            <w:r>
              <w:rPr>
                <w:rFonts w:ascii="Arial" w:cs="Arial" w:eastAsia="Arial" w:hAnsi="Arial"/>
                <w:sz w:val="18"/>
                <w:szCs w:val="18"/>
                <w:color w:val="auto"/>
                <w:w w:val="94"/>
              </w:rPr>
              <w:t>The accompanying notes are an integral part of these condensed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370"/>
              <w:spacing w:after="0"/>
              <w:rPr>
                <w:sz w:val="20"/>
                <w:szCs w:val="20"/>
                <w:color w:val="auto"/>
              </w:rPr>
            </w:pPr>
            <w:r>
              <w:rPr>
                <w:rFonts w:ascii="Arial" w:cs="Arial" w:eastAsia="Arial" w:hAnsi="Arial"/>
                <w:sz w:val="18"/>
                <w:szCs w:val="18"/>
                <w:color w:val="auto"/>
              </w:rPr>
              <w:t>F-2</w:t>
            </w: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Common Stock</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51"/>
        </w:trPr>
        <w:tc>
          <w:tcPr>
            <w:tcW w:w="2500" w:type="dxa"/>
            <w:vAlign w:val="bottom"/>
          </w:tcPr>
          <w:p>
            <w:pPr>
              <w:spacing w:after="0"/>
              <w:rPr>
                <w:sz w:val="21"/>
                <w:szCs w:val="21"/>
                <w:color w:val="auto"/>
              </w:rPr>
            </w:pPr>
          </w:p>
        </w:tc>
        <w:tc>
          <w:tcPr>
            <w:tcW w:w="1540" w:type="dxa"/>
            <w:vAlign w:val="bottom"/>
            <w:gridSpan w:val="4"/>
          </w:tcPr>
          <w:p>
            <w:pPr>
              <w:ind w:left="320"/>
              <w:spacing w:after="0"/>
              <w:rPr>
                <w:sz w:val="20"/>
                <w:szCs w:val="20"/>
                <w:color w:val="auto"/>
              </w:rPr>
            </w:pPr>
            <w:r>
              <w:rPr>
                <w:rFonts w:ascii="Arial" w:cs="Arial" w:eastAsia="Arial" w:hAnsi="Arial"/>
                <w:sz w:val="18"/>
                <w:szCs w:val="18"/>
                <w:color w:val="auto"/>
                <w:w w:val="97"/>
              </w:rPr>
              <w:t>Common Stock</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8"/>
                <w:szCs w:val="18"/>
                <w:color w:val="auto"/>
                <w:w w:val="99"/>
              </w:rPr>
              <w:t>Preferred Stock</w:t>
            </w:r>
          </w:p>
        </w:tc>
        <w:tc>
          <w:tcPr>
            <w:tcW w:w="1300" w:type="dxa"/>
            <w:vAlign w:val="bottom"/>
            <w:gridSpan w:val="4"/>
          </w:tcPr>
          <w:p>
            <w:pPr>
              <w:jc w:val="center"/>
              <w:spacing w:after="0"/>
              <w:rPr>
                <w:sz w:val="20"/>
                <w:szCs w:val="20"/>
                <w:color w:val="auto"/>
              </w:rPr>
            </w:pPr>
            <w:r>
              <w:rPr>
                <w:rFonts w:ascii="Arial" w:cs="Arial" w:eastAsia="Arial" w:hAnsi="Arial"/>
                <w:sz w:val="18"/>
                <w:szCs w:val="18"/>
                <w:color w:val="auto"/>
                <w:w w:val="86"/>
              </w:rPr>
              <w:t>Issuable</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Paid In</w:t>
            </w:r>
          </w:p>
        </w:tc>
        <w:tc>
          <w:tcPr>
            <w:tcW w:w="1260" w:type="dxa"/>
            <w:vAlign w:val="bottom"/>
            <w:gridSpan w:val="4"/>
          </w:tcPr>
          <w:p>
            <w:pPr>
              <w:ind w:left="140"/>
              <w:spacing w:after="0"/>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Shares</w:t>
            </w:r>
          </w:p>
        </w:tc>
        <w:tc>
          <w:tcPr>
            <w:tcW w:w="7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Amount</w:t>
            </w:r>
          </w:p>
        </w:tc>
        <w:tc>
          <w:tcPr>
            <w:tcW w:w="260" w:type="dxa"/>
            <w:vAlign w:val="bottom"/>
          </w:tcPr>
          <w:p>
            <w:pPr>
              <w:spacing w:after="0"/>
              <w:rPr>
                <w:sz w:val="20"/>
                <w:szCs w:val="20"/>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Shares</w:t>
            </w: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Amount</w:t>
            </w:r>
          </w:p>
        </w:tc>
        <w:tc>
          <w:tcPr>
            <w:tcW w:w="280" w:type="dxa"/>
            <w:vAlign w:val="bottom"/>
          </w:tcPr>
          <w:p>
            <w:pPr>
              <w:spacing w:after="0"/>
              <w:rPr>
                <w:sz w:val="20"/>
                <w:szCs w:val="20"/>
                <w:color w:val="auto"/>
              </w:rPr>
            </w:pP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Shares</w:t>
            </w:r>
          </w:p>
        </w:tc>
        <w:tc>
          <w:tcPr>
            <w:tcW w:w="7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Amount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(Deficit)</w:t>
            </w: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86,317,096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vested restricted</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officers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84,809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Common shares issued on</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exercise of options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for</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7"/>
        </w:trPr>
        <w:tc>
          <w:tcPr>
            <w:tcW w:w="25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March 31, 2021</w:t>
            </w: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2500" w:type="dxa"/>
            <w:vAlign w:val="bottom"/>
            <w:vMerge w:val="continue"/>
            <w:shd w:val="clear" w:color="auto" w:fill="CCEEFF"/>
          </w:tcPr>
          <w:p>
            <w:pPr>
              <w:spacing w:after="0"/>
              <w:rPr>
                <w:sz w:val="24"/>
                <w:szCs w:val="2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86,807,905</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97,904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Balance, December 31, 2019 </w:t>
      </w:r>
      <w:r>
        <w:rPr>
          <w:rFonts w:ascii="Arial" w:cs="Arial" w:eastAsia="Arial" w:hAnsi="Arial"/>
          <w:sz w:val="17"/>
          <w:szCs w:val="17"/>
          <w:color w:val="auto"/>
        </w:rPr>
        <w:t>Fair value of vested options Fair value of vested restricted shares granted to an officer Net loss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March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center"/>
              <w:ind w:right="260"/>
              <w:spacing w:after="0"/>
              <w:rPr>
                <w:sz w:val="20"/>
                <w:szCs w:val="20"/>
                <w:color w:val="auto"/>
              </w:rPr>
            </w:pPr>
            <w:r>
              <w:rPr>
                <w:rFonts w:ascii="Arial" w:cs="Arial" w:eastAsia="Arial" w:hAnsi="Arial"/>
                <w:sz w:val="18"/>
                <w:szCs w:val="18"/>
                <w:color w:val="auto"/>
                <w:w w:val="89"/>
              </w:rPr>
              <w:t>Total</w:t>
            </w: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6"/>
          </w:tcPr>
          <w:p>
            <w:pPr>
              <w:jc w:val="center"/>
              <w:ind w:right="140"/>
              <w:spacing w:after="0"/>
              <w:rPr>
                <w:sz w:val="20"/>
                <w:szCs w:val="20"/>
                <w:color w:val="auto"/>
              </w:rPr>
            </w:pPr>
            <w:r>
              <w:rPr>
                <w:rFonts w:ascii="Arial" w:cs="Arial" w:eastAsia="Arial" w:hAnsi="Arial"/>
                <w:sz w:val="18"/>
                <w:szCs w:val="18"/>
                <w:color w:val="auto"/>
                <w:w w:val="90"/>
              </w:rPr>
              <w:t>Common Stock</w:t>
            </w:r>
          </w:p>
        </w:tc>
        <w:tc>
          <w:tcPr>
            <w:tcW w:w="1020" w:type="dxa"/>
            <w:vAlign w:val="bottom"/>
            <w:gridSpan w:val="4"/>
          </w:tcPr>
          <w:p>
            <w:pPr>
              <w:ind w:left="12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5"/>
          </w:tcPr>
          <w:p>
            <w:pPr>
              <w:jc w:val="center"/>
              <w:ind w:right="80"/>
              <w:spacing w:after="0"/>
              <w:rPr>
                <w:sz w:val="20"/>
                <w:szCs w:val="20"/>
                <w:color w:val="auto"/>
              </w:rPr>
            </w:pPr>
            <w:r>
              <w:rPr>
                <w:rFonts w:ascii="Arial" w:cs="Arial" w:eastAsia="Arial" w:hAnsi="Arial"/>
                <w:sz w:val="18"/>
                <w:szCs w:val="18"/>
                <w:color w:val="auto"/>
                <w:w w:val="90"/>
              </w:rPr>
              <w:t>Stockholders’</w:t>
            </w:r>
          </w:p>
        </w:tc>
      </w:tr>
      <w:tr>
        <w:trPr>
          <w:trHeight w:val="251"/>
        </w:trPr>
        <w:tc>
          <w:tcPr>
            <w:tcW w:w="1540" w:type="dxa"/>
            <w:vAlign w:val="bottom"/>
            <w:gridSpan w:val="3"/>
          </w:tcPr>
          <w:p>
            <w:pPr>
              <w:ind w:left="320"/>
              <w:spacing w:after="0"/>
              <w:rPr>
                <w:sz w:val="20"/>
                <w:szCs w:val="20"/>
                <w:color w:val="auto"/>
              </w:rPr>
            </w:pPr>
            <w:r>
              <w:rPr>
                <w:rFonts w:ascii="Arial" w:cs="Arial" w:eastAsia="Arial" w:hAnsi="Arial"/>
                <w:sz w:val="18"/>
                <w:szCs w:val="18"/>
                <w:color w:val="auto"/>
                <w:w w:val="97"/>
              </w:rPr>
              <w:t>Common Stock</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8"/>
                <w:szCs w:val="18"/>
                <w:color w:val="auto"/>
                <w:w w:val="99"/>
              </w:rPr>
              <w:t>Preferred Stock</w:t>
            </w:r>
          </w:p>
        </w:tc>
        <w:tc>
          <w:tcPr>
            <w:tcW w:w="116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Issuable</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Paid In</w:t>
            </w:r>
          </w:p>
        </w:tc>
        <w:tc>
          <w:tcPr>
            <w:tcW w:w="1340" w:type="dxa"/>
            <w:vAlign w:val="bottom"/>
            <w:gridSpan w:val="4"/>
          </w:tcPr>
          <w:p>
            <w:pPr>
              <w:ind w:left="120"/>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8"/>
                <w:szCs w:val="18"/>
                <w:color w:val="auto"/>
                <w:w w:val="95"/>
              </w:rPr>
              <w:t>Equity</w:t>
            </w:r>
          </w:p>
        </w:tc>
      </w:tr>
      <w:tr>
        <w:trPr>
          <w:trHeight w:val="237"/>
        </w:trPr>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Shares</w:t>
            </w: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Amount</w:t>
            </w:r>
          </w:p>
        </w:tc>
        <w:tc>
          <w:tcPr>
            <w:tcW w:w="260" w:type="dxa"/>
            <w:vAlign w:val="bottom"/>
          </w:tcPr>
          <w:p>
            <w:pPr>
              <w:spacing w:after="0"/>
              <w:rPr>
                <w:sz w:val="20"/>
                <w:szCs w:val="20"/>
                <w:color w:val="auto"/>
              </w:rPr>
            </w:pPr>
          </w:p>
        </w:tc>
        <w:tc>
          <w:tcPr>
            <w:tcW w:w="6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7"/>
              </w:rPr>
              <w:t>Shares</w:t>
            </w:r>
          </w:p>
        </w:tc>
        <w:tc>
          <w:tcPr>
            <w:tcW w:w="7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Amount</w:t>
            </w:r>
          </w:p>
        </w:tc>
        <w:tc>
          <w:tcPr>
            <w:tcW w:w="260" w:type="dxa"/>
            <w:vAlign w:val="bottom"/>
          </w:tcPr>
          <w:p>
            <w:pPr>
              <w:spacing w:after="0"/>
              <w:rPr>
                <w:sz w:val="20"/>
                <w:szCs w:val="20"/>
                <w:color w:val="auto"/>
              </w:rPr>
            </w:pPr>
          </w:p>
        </w:tc>
        <w:tc>
          <w:tcPr>
            <w:tcW w:w="8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8"/>
              </w:rPr>
              <w:t>Shares</w:t>
            </w:r>
          </w:p>
        </w:tc>
        <w:tc>
          <w:tcPr>
            <w:tcW w:w="7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Amount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8"/>
                <w:szCs w:val="18"/>
                <w:color w:val="auto"/>
                <w:w w:val="99"/>
              </w:rPr>
              <w:t>(Deficit)</w:t>
            </w:r>
          </w:p>
        </w:tc>
      </w:tr>
      <w:tr>
        <w:trPr>
          <w:trHeight w:val="202"/>
        </w:trPr>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47,595,206</w:t>
            </w:r>
          </w:p>
        </w:tc>
        <w:tc>
          <w:tcPr>
            <w:tcW w:w="260" w:type="dxa"/>
            <w:vAlign w:val="bottom"/>
          </w:tcPr>
          <w:p>
            <w:pPr>
              <w:spacing w:after="0"/>
              <w:rPr>
                <w:sz w:val="17"/>
                <w:szCs w:val="17"/>
                <w:color w:val="auto"/>
              </w:rPr>
            </w:pPr>
          </w:p>
        </w:tc>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9,411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94</w:t>
            </w:r>
          </w:p>
        </w:tc>
        <w:tc>
          <w:tcPr>
            <w:tcW w:w="260" w:type="dxa"/>
            <w:vAlign w:val="bottom"/>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77,596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(76,548)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1"/>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4"/>
                <w:szCs w:val="24"/>
                <w:color w:val="auto"/>
              </w:rPr>
            </w:pPr>
          </w:p>
        </w:tc>
      </w:tr>
      <w:tr>
        <w:trPr>
          <w:trHeight w:val="251"/>
        </w:trPr>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(2,580)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(2,580)</w:t>
            </w:r>
          </w:p>
        </w:tc>
      </w:tr>
      <w:tr>
        <w:trPr>
          <w:trHeight w:val="230"/>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47,595,206</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78,091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(79,128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(653</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-890905</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-607695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-179070</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300"/>
            <w:col w:w="8780"/>
          </w:cols>
          <w:pgMar w:left="320" w:top="688"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March 31, 2020</w:t>
            </w:r>
          </w:p>
        </w:tc>
      </w:tr>
      <w:tr>
        <w:trPr>
          <w:trHeight w:val="21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(4,507)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(2,580)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12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on termination of leases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96</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prepaid financing costs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Amortization of right of use assets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37</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vested options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Fair value of vested restricted shares granted to officers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285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allowance for doubtful accounts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Decrease in inventory reserve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Accrual of interest on convertible note to a related party</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142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120" w:type="dxa"/>
            <w:vAlign w:val="bottom"/>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2,902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(1,038)</w:t>
            </w: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(5,059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Patent costs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Borrowings on line of credit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16,154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9,188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line of credit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(11,898)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(7,677)</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Amounts from related party</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repayments on capital lease obligation</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36"/>
        </w:trPr>
        <w:tc>
          <w:tcPr>
            <w:tcW w:w="612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913</w:t>
            </w:r>
          </w:p>
        </w:tc>
      </w:tr>
      <w:tr>
        <w:trPr>
          <w:trHeight w:val="230"/>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70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98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 and 2020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interim condensed financial statements of Reed’s, Inc. (the “Company”, “we”, “us”, or “our”), are unaudited, but in the opinion of management contain all adjustments, including normal recurring adjustments, necessary to present fairly our financial position at March 31, 2021 and the results of operations and cash flows for the three months ended March 31, 2021 and 2020. The balance sheet as of December 31, 2020 is derived from the Company’s audited financial statements.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information and footnote disclosures normally included in financial statements that have been prepared in accordance with accounting principles generally accepted in the United States of America have been condensed or omitted pursuant to the rules and regulations of the Securities and Exchange Commission regarding interim financial reporting. We believe that the disclosures contained in these condensed financial statements are adequate to make the information presented herein not misleading. For further information, refer to the financial statements and the notes thereto included in the Company’s Annual Report on Form 10-K for the fiscal year ended December 31, 2020, as filed with the Securities and Exchange Commission on March 30, 2021.</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three months ended March 31, 2021 are not necessarily indicative of the results of operations to be expected for the full fiscal year ending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ended March 31, 2021, the COVID-19 pandemic has impacted our operating results and the Company anticipates a continued impact for the balance of the year. In addition,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Through March 31, 2021, the Company has experienced higher transportation expenses as the capacity in the freight market has not kept up with demand.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that costs will continue to increase throughout the year. However, mitigation plans are being implemented to manage this risk.</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without significant incremental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March 31, 2021,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for the period ended March 31, 2021 were up 28% from the prior year period. Through March 31, 2021,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 For the three months ended March 31, 2021, the Company recorded a net loss of $4,507 and used cash in operations of $5,059. As of March 31, 2021, we had a cash balance of $155 with borrowing capacity of $2,513, a stockholder’s equity of $6,770 and a working capital of $5,698, compared to a cash balance of $595 with borrowing capacity of $5,166, stockholders’ equity of $10,404 and a working capital of $9,528 at December 31, 2020. Notwithstanding the net loss for the three months ended March 31, 2021, management projects adequate cash from operations and available line of credit to ensure continuation of the Company as a going concern for at least one year from the date of this quarterly report.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3" w:lineRule="exact"/>
        <w:rPr>
          <w:sz w:val="20"/>
          <w:szCs w:val="20"/>
          <w:color w:val="auto"/>
        </w:rPr>
      </w:pPr>
    </w:p>
    <w:p>
      <w:pPr>
        <w:ind w:right="86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Use of estimates</w:t>
      </w: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products are offered for sale as finished goods only, and there are no performance obligations required post-shipment for customers to derive the expected value from them.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period.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periods ended March 31, 2021 and 2020, the calculations of basic and diluted loss per share are the same because potential dilutive securities would have had an anti-dilutive effect. The potentially dilutive securities consisted of the following:</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March 31,</w:t>
            </w:r>
          </w:p>
        </w:tc>
        <w:tc>
          <w:tcPr>
            <w:tcW w:w="19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66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to a related party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Warrants</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3,362,241</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6,413,782</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 of Series A Convertible Preferred stock</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37,644</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Common stock issuable</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309,082</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36"/>
        </w:trPr>
        <w:tc>
          <w:tcPr>
            <w:tcW w:w="6620" w:type="dxa"/>
            <w:vAlign w:val="bottom"/>
          </w:tcPr>
          <w:p>
            <w:pPr>
              <w:spacing w:after="0"/>
              <w:rPr>
                <w:sz w:val="20"/>
                <w:szCs w:val="20"/>
                <w:color w:val="auto"/>
              </w:rPr>
            </w:pPr>
            <w:r>
              <w:rPr>
                <w:rFonts w:ascii="Arial" w:cs="Arial" w:eastAsia="Arial" w:hAnsi="Arial"/>
                <w:sz w:val="18"/>
                <w:szCs w:val="18"/>
                <w:color w:val="auto"/>
              </w:rPr>
              <w:t>Options</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11,028,322</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4,683,380</w:t>
            </w:r>
          </w:p>
        </w:tc>
      </w:tr>
      <w:tr>
        <w:trPr>
          <w:trHeight w:val="23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14,737,289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13,901,473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Series A Convertible Preferred Stock is convertible into Common shares at the rate of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and are included in selling and marketing expense. Advertising costs aggregated $349 and $302 for the three months ended March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During the three months ended March 31, 2021, the Company’s two largest customers accounted for 23% and 12% of gross sales,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2020, the Company’s two largest customers accounted for 22% and 14% of gross sales, respectively. No other customers exceeded 10% of sales in either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March 31, 2021, the Company had accounts receivable from two customers which comprised 18% and 10% of its gross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respectively. As of December 31, 2020, the Company had accounts receivable from one customer which comprised 23% of its gross accounts receivable. No other customers exceeded 10% of gross accounts receivable in either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i w:val="1"/>
          <w:iCs w:val="1"/>
          <w:color w:val="auto"/>
        </w:rPr>
        <w:t xml:space="preserve">Purchases from vendors. </w:t>
      </w:r>
      <w:r>
        <w:rPr>
          <w:rFonts w:ascii="Arial" w:cs="Arial" w:eastAsia="Arial" w:hAnsi="Arial"/>
          <w:sz w:val="18"/>
          <w:szCs w:val="18"/>
          <w:color w:val="auto"/>
        </w:rPr>
        <w:t>During the three months ended March 31, 2021, the Company’s two largest vendor accounted for approximately 13% and 13% of</w:t>
      </w:r>
      <w:r>
        <w:rPr>
          <w:rFonts w:ascii="Arial" w:cs="Arial" w:eastAsia="Arial" w:hAnsi="Arial"/>
          <w:sz w:val="18"/>
          <w:szCs w:val="18"/>
          <w:i w:val="1"/>
          <w:iCs w:val="1"/>
          <w:color w:val="auto"/>
        </w:rPr>
        <w:t xml:space="preserve"> </w:t>
      </w:r>
      <w:r>
        <w:rPr>
          <w:rFonts w:ascii="Arial" w:cs="Arial" w:eastAsia="Arial" w:hAnsi="Arial"/>
          <w:sz w:val="18"/>
          <w:szCs w:val="18"/>
          <w:color w:val="auto"/>
        </w:rPr>
        <w:t>all purchases, respectively. During the three months ended March 31, 2020, the Company’s largest vendor accounted for approximately 10% of all purchases. No other vendors exceeded 10% of all purchases in either periods.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As of March 31, 2021, the Company’s two largest vendors accounted for 19% and 10% of the total accounts payable, respectively.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the Company’s largest two vendors accounted for 12% and 10% of the total accounts payable, respectively. No other vendors exceeded 10% of gross accounts payable in either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January 1, 2024, for the Company and the provisions of this update can be adopted using either the modified retrospective method or a fully retrospective method. Early adoption is permitted, but no earlier than January 1, 2021, including interim periods within that year. Effective January 1, 2021, the Company early adopted ASU 2020-06 and that adoption did not have an impact on our financial statements and related disclosures.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Inventory is valued at the lower of cost (first-in, first-out) or net realizable value, and net of reserves is comprised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4560" w:type="dxa"/>
            <w:vAlign w:val="bottom"/>
          </w:tcPr>
          <w:p>
            <w:pPr>
              <w:spacing w:after="0"/>
              <w:rPr>
                <w:sz w:val="20"/>
                <w:szCs w:val="20"/>
                <w:color w:val="auto"/>
              </w:rPr>
            </w:pPr>
          </w:p>
        </w:tc>
        <w:tc>
          <w:tcPr>
            <w:tcW w:w="38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24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Finished products</w:t>
            </w:r>
          </w:p>
        </w:tc>
        <w:tc>
          <w:tcPr>
            <w:tcW w:w="2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4,699</w:t>
            </w: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4,326</w:t>
            </w:r>
          </w:p>
        </w:tc>
      </w:tr>
      <w:tr>
        <w:trPr>
          <w:trHeight w:val="23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12,445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recorded a reserve for slow moving and potentially obsolete inventory. The reserve at March 31, 2021, and December 31, 2020, was $174 and $194,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4. Property and Equipment</w:t>
            </w: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00" w:type="dxa"/>
            <w:vAlign w:val="bottom"/>
          </w:tcPr>
          <w:p>
            <w:pPr>
              <w:spacing w:after="0"/>
              <w:rPr>
                <w:sz w:val="20"/>
                <w:szCs w:val="20"/>
                <w:color w:val="auto"/>
              </w:rPr>
            </w:pPr>
            <w:r>
              <w:rPr>
                <w:rFonts w:ascii="Arial" w:cs="Arial" w:eastAsia="Arial" w:hAnsi="Arial"/>
                <w:sz w:val="18"/>
                <w:szCs w:val="18"/>
                <w:color w:val="auto"/>
              </w:rPr>
              <w:t>Property and equipment is comprised of the following (in thousands):</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000" w:type="dxa"/>
            <w:vAlign w:val="bottom"/>
          </w:tcPr>
          <w:p>
            <w:pPr>
              <w:spacing w:after="0"/>
              <w:rPr>
                <w:sz w:val="20"/>
                <w:szCs w:val="20"/>
                <w:color w:val="auto"/>
              </w:rPr>
            </w:pPr>
          </w:p>
        </w:tc>
        <w:tc>
          <w:tcPr>
            <w:tcW w:w="24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under operating leases</w:t>
            </w:r>
          </w:p>
        </w:tc>
        <w:tc>
          <w:tcPr>
            <w:tcW w:w="9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Right-of-use assets under finance leases</w:t>
            </w: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w:t>
            </w:r>
          </w:p>
        </w:tc>
        <w:tc>
          <w:tcPr>
            <w:tcW w:w="9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2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expense for the three months ended March 31, 2021 and 2020 was $32 and $12, respectively, and amortization of right-of-use assets for the three months ended March 31, 2021 and 2020 was $24 and $37, respectively. During the three months ended March 31, 2021, the Company disposed of right-of-use assets under finance leases with a cost of $48 and accumulated amortization of $38, and terminated $13 of related finance leases payable (see Note 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Equipment held for sale consists of the following (in thousands):</w:t>
            </w:r>
          </w:p>
        </w:tc>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820" w:type="dxa"/>
            <w:vAlign w:val="bottom"/>
          </w:tcPr>
          <w:p>
            <w:pPr>
              <w:spacing w:after="0"/>
              <w:rPr>
                <w:sz w:val="20"/>
                <w:szCs w:val="20"/>
                <w:color w:val="auto"/>
              </w:rPr>
            </w:pPr>
          </w:p>
        </w:tc>
        <w:tc>
          <w:tcPr>
            <w:tcW w:w="26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held for sale</w:t>
            </w:r>
          </w:p>
        </w:tc>
        <w:tc>
          <w:tcPr>
            <w:tcW w:w="1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820" w:type="dxa"/>
            <w:vAlign w:val="bottom"/>
          </w:tcPr>
          <w:p>
            <w:pPr>
              <w:spacing w:after="0"/>
              <w:rPr>
                <w:sz w:val="20"/>
                <w:szCs w:val="20"/>
                <w:color w:val="auto"/>
              </w:rPr>
            </w:pPr>
            <w:r>
              <w:rPr>
                <w:rFonts w:ascii="Arial" w:cs="Arial" w:eastAsia="Arial" w:hAnsi="Arial"/>
                <w:sz w:val="18"/>
                <w:szCs w:val="18"/>
                <w:color w:val="auto"/>
              </w:rPr>
              <w:t>Reserve</w:t>
            </w:r>
          </w:p>
        </w:tc>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30"/>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balance as of March 31, 2021, and December 31, 2020, consists of residual manufacturing equipment, at estimated net realizable value, which management anticipates selling during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are comprised of brand names acquired, specifically Virgil’s, and costs related to trademarks. They have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assessment, there were no indications of impairment at March 31, 2021.</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2021, the Company capitalized costs of $2 pertaining to legal and other fees incurred in applying for international trademarks for Reeds and Virgil’s brands.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Intangible assets consist of the following (in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center"/>
              <w:ind w:left="41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670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9"/>
              </w:rPr>
              <w:t>2021</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Brand names</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00" w:type="dxa"/>
            <w:vAlign w:val="bottom"/>
          </w:tcPr>
          <w:p>
            <w:pPr>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6. Line of Credit</w:t>
            </w: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color w:val="auto"/>
                <w:w w:val="95"/>
              </w:rPr>
              <w:t>Amounts outstanding under the Company’s credit facilities are as follows (in thousands):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center"/>
              <w:ind w:left="41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6700" w:type="dxa"/>
            <w:vAlign w:val="bottom"/>
          </w:tcPr>
          <w:p>
            <w:pPr>
              <w:spacing w:after="0"/>
              <w:rPr>
                <w:sz w:val="20"/>
                <w:szCs w:val="20"/>
                <w:color w:val="auto"/>
              </w:rPr>
            </w:pPr>
          </w:p>
        </w:tc>
        <w:tc>
          <w:tcPr>
            <w:tcW w:w="17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9"/>
              </w:rPr>
              <w:t>2021</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4, 2018, the Company entered into a financing agreement with Rosenthal &amp; Rosenthal, Inc. The financing agreement provides a maximum borrowing capacity of $13,000. Borrowings are based on a formula of eligible accounts receivable and inventories (the “permitted borrowings”) plus advances (an “over-advance” of up to $4,000) in excess of permitted borrowings. At March 31, 2021, the unused borrowing capacity under the financing agreement was $2,513. The line of credit matured on March 30, 2021, with automatic yearly renewals thereafter until terminated.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Borrowings under the Rosenthal financing agreement bear interest at the greater of prime or 4.75%, plus an additional 2.0% to 3.5% depending on whether the borrowing is based upon receivables, inventory or is an over-advance. Additionally, the line of credit is subject to monthly facility and administration fees, and aggregate minimum monthly fees (including interest) of $4.</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line of credit is secured by substantially all of the assets, excluding intellectual property, of the Company. The over-advance is secured by all of Reed’s intellectual property collateral. Additionally, any over-advance was guaranteed by an irrevocable stand-by letter of credit in the amount of $1,500, issued by Daniel J. Doherty III and the Daniel J. Doherty, III 2002 Family Trust, affiliates of Raptor/Harbor Reeds SPV LLC (“Raptor”). On March 11, 2021, the Company entered into an amendment to the financing agreement, releasing that irrevocable standby letter of credit of $1,500 by Raptor with a $2,000 pledge of securities to Rosenthal by John J. Bello and Nancy E. Bello, as Co-Trustees of The John and Nancy Bello Revocable Living Trust.</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John J. Bello, current Chairman and former Interim Chief Executive Officer of Reed’s, is a related party. He is also a greater than 5% beneficial owner of Reed’s common stock. As consideration for the collateral support, Mr. Bello received 400,000 shares of Reed’s restricted stock. The Company determined the fair value of the 400,000 restricted stock to be $472 which was recorded as a prepaid financing costs and included in prepaid expenses and other current assets on the condensed balance sheet at March 31, 2021. The prepaid financing fee is to be amortized over a twelve month period. During the three months ended March 31, 2021, the company amortized $25 of the prepaid financing costs to interest expense.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financing agreement with Rosenthal includes customary restrictions that limit our ability to engage in certain types of transactions, including our ability to utilize tangible and intangible assets as collateral for other indebtedness. Additionally, the agreement contains a financial covenant that requires us to meet certain minimum working capital and tangible net worth thresholds as of the end of each quarter. We were in compliance with the terms of our agreement with Rosenthal as of March 31,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301" w:lineRule="auto"/>
        <w:rPr>
          <w:sz w:val="20"/>
          <w:szCs w:val="20"/>
          <w:color w:val="auto"/>
        </w:rPr>
      </w:pPr>
      <w:r>
        <w:rPr>
          <w:rFonts w:ascii="Arial" w:cs="Arial" w:eastAsia="Arial" w:hAnsi="Arial"/>
          <w:sz w:val="16"/>
          <w:szCs w:val="16"/>
          <w:color w:val="auto"/>
        </w:rPr>
        <w:t>The Company annually incurs an additional $130 of fees from the bank, which is equal to 1% of the $13,000 borrowing limit. These costs have been capitalized and recorded as a debt discount and are amortized over the remaining life of the Rosenthal agreement. On December 31, 2020, the remaining unamortized debt discount of $162 is included in prepaid expense and other current assets on the balance sheet. Amortization of debt discount was $162 and $96 for the three months ended March 31, 2021 and 2020, respectively. On March 31, 2021, no remaining unamortized debt discount remained.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 Payable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20, 2020, the Company was granted a loan (the “PPP loan”) from City National Bank in the aggregate amount of $770, pursuant to the Paycheck Protection Program (the “PPP”) under the CARES Act. At December 31, 2020, the note payable balance was $770, of which $599 was reflected as the current portion of note payable. At March 31, 2021, the note payable balance was $770, of which $727 was reflected as the current portion of note payable.</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PPP loan agreement is dated April 20, 2020, matures on April 20, 2022, bears interest at a rate of 1% per annum, with the first six months of interest deferred, is payable monthly commencing on November 2020, and is unsecured and guaranteed by the U.S. Small Business Administration. We applied ASC 470, </w:t>
      </w:r>
      <w:r>
        <w:rPr>
          <w:rFonts w:ascii="Arial" w:cs="Arial" w:eastAsia="Arial" w:hAnsi="Arial"/>
          <w:sz w:val="17"/>
          <w:szCs w:val="17"/>
          <w:i w:val="1"/>
          <w:iCs w:val="1"/>
          <w:color w:val="auto"/>
        </w:rPr>
        <w:t>Debt</w:t>
      </w:r>
      <w:r>
        <w:rPr>
          <w:rFonts w:ascii="Arial" w:cs="Arial" w:eastAsia="Arial" w:hAnsi="Arial"/>
          <w:sz w:val="17"/>
          <w:szCs w:val="17"/>
          <w:color w:val="auto"/>
        </w:rPr>
        <w:t>, to account for the PPP loan. Funds from the PPP loan may only be used for qualifying expenses as described in the CARES Act, including qualifying payroll costs, qualifying group health care benefits, qualifying rent and debt obligations, and qualifying utilities. The Company believes it used the entire loan amount for qualifying expenses. Under the terms of the PPP, certain amounts of the loan may be forgiven if they are used for qualifying expenses. The Company was in compliance with the terms of the PPP loan as of March 31, 2021.</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conditions outlined in the PPP loan program are adhered to by the Company, all or part of such loan could be forgiven. The Company believes that all or a substantial portion of the PPP loan is eligible for forgiveness. The Company applied for full forgiveness of the PPP loan on March 17, 2021. As for the potential loan forgiveness, once the PPP loan is, in part or wholly, forgiven and a legal release is received, the liability would be reduced by the amount forgiven and a gain on extinguishment would be recorded. However, the Company cannot provide any assurance whether the PPP loan will ultimately be forgiven by the SBA.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Liabilities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accounts for leases under ASC 842, </w:t>
      </w:r>
      <w:r>
        <w:rPr>
          <w:rFonts w:ascii="Arial" w:cs="Arial" w:eastAsia="Arial" w:hAnsi="Arial"/>
          <w:sz w:val="18"/>
          <w:szCs w:val="18"/>
          <w:i w:val="1"/>
          <w:iCs w:val="1"/>
          <w:color w:val="auto"/>
        </w:rPr>
        <w:t>Leases</w:t>
      </w:r>
      <w:r>
        <w:rPr>
          <w:rFonts w:ascii="Arial" w:cs="Arial" w:eastAsia="Arial" w:hAnsi="Arial"/>
          <w:sz w:val="18"/>
          <w:szCs w:val="18"/>
          <w:color w:val="auto"/>
        </w:rPr>
        <w:t>. The standard requires a lessee to record a right-of-use asset and a corresponding lease liability at the inception of the lease, initially measured at the present value of the lease payments.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842 requires recognition in the statement of operations of a single lease cost, calculated so that the cost of the lease is allocated over the lease term, generally on a straight-line basis. During the three months ended March 31, 2021, the Company reflected amortization of right of use asset of $24 related to these leases, resulting in a net asset balance of $730 as of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ASC 842, the right-of-use assets are being amortized over the life of the underlying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lease liabilities totaled $685, made up of finance lease liabilities of $16 and operating lease liabilities of $669. During the three months ended March 31, 2021, the Company terminated $13 of finance leases, and made payments of $2 towards its finance lease liability and $8 towards its operating lease liability. As of March 31, 2021, lease liabilities totaled $663, made up of finance lease liability of $1 and operating lease liability of $662.</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weighted average remaining lease terms for operating lease and finance lease are 3.76 years and 0.50 years, respectively. The weighted average discount rate for operating lease is 12.6% and 12.6% for finance 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three months ended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Unvested</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Issuable</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at Date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5200" w:type="dxa"/>
            <w:vAlign w:val="bottom"/>
          </w:tcPr>
          <w:p>
            <w:pPr>
              <w:spacing w:after="0"/>
              <w:rPr>
                <w:sz w:val="20"/>
                <w:szCs w:val="20"/>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Issuance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245,900</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(84,809)</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84,809</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(2,009)</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18"/>
                <w:szCs w:val="18"/>
                <w:color w:val="auto"/>
              </w:rPr>
            </w:pPr>
          </w:p>
        </w:tc>
      </w:tr>
      <w:tr>
        <w:trPr>
          <w:trHeight w:val="24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(84,809)</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March 31,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309,082</w:t>
            </w:r>
          </w:p>
        </w:tc>
        <w:tc>
          <w:tcPr>
            <w:tcW w:w="36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26, 2021, the board of directors of Reed’s, pursuant to a joint recommendation from its governance and compensation committees, set the cash compensation of its non-employee directors at $50,000 for fiscal 2021, payable quarterly in accordance with the company’s policies for non-employee director compensation. In addition, the Company granted 245,900 restricted stock awards to five non-employee directors. 61,475 of these restricted stock awards vested on February1, 2021. The remaining 184,425 restricted stock awards will vest equally on May 1, 2021, August 1, 2021, and November 1, 2021. The aggregate fair value of the stock awards was $226 based on the market price of our common stock price which was $0.92 per share on the date of grants and is amortized as shares vest.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total fair value of restricted common stock vesting during the three months ended March 31, 2021 and 2020 was $98 and $285, respectively, and is included in general and administrative expenses in the accompanying statements of operations. As of March 31, 2021, the amount of unvested compensation related to issuances of restricted common stock was $220,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three months ended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Terms</w:t>
            </w: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20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Exercise Price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9,417,898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1.45</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1,939,700</w:t>
            </w:r>
          </w:p>
        </w:tc>
        <w:tc>
          <w:tcPr>
            <w:tcW w:w="1040" w:type="dxa"/>
            <w:vAlign w:val="bottom"/>
            <w:gridSpan w:val="2"/>
          </w:tcPr>
          <w:p>
            <w:pPr>
              <w:jc w:val="right"/>
              <w:ind w:right="738"/>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104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0.50</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Unvested forfeited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(315,526)</w:t>
            </w:r>
          </w:p>
        </w:tc>
        <w:tc>
          <w:tcPr>
            <w:tcW w:w="1040" w:type="dxa"/>
            <w:vAlign w:val="bottom"/>
            <w:gridSpan w:val="2"/>
          </w:tcPr>
          <w:p>
            <w:pPr>
              <w:jc w:val="right"/>
              <w:ind w:right="738"/>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1.75</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 forfeited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(7,750)</w:t>
            </w:r>
          </w:p>
        </w:tc>
        <w:tc>
          <w:tcPr>
            <w:tcW w:w="104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2.51</w:t>
            </w: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5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at March 31, 2021</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11,028,322</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79"/>
              </w:rPr>
              <w:t>1.15</w:t>
            </w:r>
          </w:p>
        </w:tc>
        <w:tc>
          <w:tcPr>
            <w:tcW w:w="34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8.61</w:t>
            </w:r>
          </w:p>
        </w:tc>
        <w:tc>
          <w:tcPr>
            <w:tcW w:w="3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3,160,048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1.34</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the Company received proceeds of $3 and issued 6,000 shares of common shares on the exercise of stock options.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right="20"/>
        <w:spacing w:after="0" w:line="263" w:lineRule="auto"/>
        <w:rPr>
          <w:sz w:val="20"/>
          <w:szCs w:val="20"/>
          <w:color w:val="auto"/>
        </w:rPr>
      </w:pPr>
      <w:r>
        <w:rPr>
          <w:rFonts w:ascii="Arial" w:cs="Arial" w:eastAsia="Arial" w:hAnsi="Arial"/>
          <w:sz w:val="18"/>
          <w:szCs w:val="18"/>
          <w:color w:val="auto"/>
        </w:rPr>
        <w:t>During the three months ended March 31, 2021, the Company approved options exercisable into 1,939,700 shares to be issued pursuant to Reed’s 2020 Equity Incentive Plan. 1,939,700 options were issued to employees, 969,850 options vesting annually over a four-year vesting period, and 969,850 options that will vest based on performance criteria to be established by the board of directors.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stock options are exercisable at a price of $1.01 per share and expire in ten years. The total fair value of these options at grant date was approximately $1,294, which was determined using a Black-Scholes-Merton option pricing model with the following average assumption: stock price of $1.01 per share, expected term of six years, volatility of 76%, dividend rate of 0%, and weighted average risk-free interest rate of 0.94%.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and 2020, the Company recognized $300 and $495 of compensation expense relating to vested stock options. As of March 31, 2021, the aggregate amount of unvested compensation related to stock options was approximately $4,274 which will be recognized as an expense as the options vest in future periods through March 28, 2025.</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outstanding and exercisable options have an intrinsic value of $2,332 and $759, respectively. The aggregate intrinsic value was calculated as the difference between the closing market price as of March 31, 2021, which was $1.17, and the exercise price of the outstanding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the Company has issued warrants to purchase an aggregate of 3,362,241 shares of common stock. The Company’s warrant activity during the three months ended March 31, 2021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Average</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66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Terms (Years)</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46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3,362,241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6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at March 31, 2021</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3,362,241</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CCEEFF"/>
            </w:tcBorders>
            <w:gridSpan w:val="2"/>
          </w:tcPr>
          <w:p>
            <w:pPr>
              <w:jc w:val="right"/>
              <w:ind w:right="320"/>
              <w:spacing w:after="0" w:line="203" w:lineRule="exact"/>
              <w:rPr>
                <w:sz w:val="20"/>
                <w:szCs w:val="20"/>
                <w:color w:val="auto"/>
              </w:rPr>
            </w:pPr>
            <w:r>
              <w:rPr>
                <w:rFonts w:ascii="Arial" w:cs="Arial" w:eastAsia="Arial" w:hAnsi="Arial"/>
                <w:sz w:val="18"/>
                <w:szCs w:val="18"/>
                <w:color w:val="auto"/>
              </w:rPr>
              <w:t>1.56</w:t>
            </w:r>
          </w:p>
        </w:tc>
        <w:tc>
          <w:tcPr>
            <w:tcW w:w="1380" w:type="dxa"/>
            <w:vAlign w:val="bottom"/>
            <w:tcBorders>
              <w:top w:val="single" w:sz="8" w:color="CCEEFF"/>
              <w:bottom w:val="single" w:sz="8" w:color="CCEEFF"/>
            </w:tcBorders>
            <w:gridSpan w:val="2"/>
          </w:tcPr>
          <w:p>
            <w:pPr>
              <w:jc w:val="right"/>
              <w:ind w:right="280"/>
              <w:spacing w:after="0" w:line="203" w:lineRule="exact"/>
              <w:rPr>
                <w:sz w:val="20"/>
                <w:szCs w:val="20"/>
                <w:color w:val="auto"/>
              </w:rPr>
            </w:pPr>
            <w:r>
              <w:rPr>
                <w:rFonts w:ascii="Arial" w:cs="Arial" w:eastAsia="Arial" w:hAnsi="Arial"/>
                <w:sz w:val="18"/>
                <w:szCs w:val="18"/>
                <w:color w:val="auto"/>
              </w:rPr>
              <w:t>2.24</w:t>
            </w:r>
          </w:p>
        </w:tc>
        <w:tc>
          <w:tcPr>
            <w:tcW w:w="12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526</w:t>
            </w:r>
          </w:p>
        </w:tc>
      </w:tr>
      <w:tr>
        <w:trPr>
          <w:trHeight w:val="223"/>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3,362,241</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warrant transactions during the three months ended March 31, 2021. As of March 31, 2021, the outstanding and exercisable warrants have an intrinsic value of $526. The intrinsic value was calculated as the difference between the closing market price as of March 31, 2021, which was $1.17, and the exercise price of the Company’s warrants to purchase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Activities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2018, the Company completed the sale of its Los Angeles manufacturing plant to California Custom Beverage, LLC (“CCB”), an entity owned by Christopher J. Reed, a related party, and CCB assumed the monthly payments on our lease obligation for the Los Angeles manufacturing plant. Our release from the obligation by the lessor, however, is dependent upon CCB’s deposit of $1,200 of security with the lessor. The deposit is secured by Mr. Reed’s pledge of common stock to the lessor and guaranteed personally by Mr. Reed and his wife. As of March 31, 2021, $800 has been deposited with the lessor and Mr. Reed has placed approximately 363,000 pledged shares valued at $425 that remain in escrow with the lessor.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Beginning in 2019, we are to receive a 5% royalty on CCB’s private label sales to existing customers for three years and a 5% referral fee on CCB’s private label sales to referred customers for three years. During the three months ended March 31, 2021 and 2020, the Company recorded royalty revenue from CCB of $3 and $5,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the Company had an aggregate receivable balance from CCB of $682 at December 3,1 2020. During the quarter ended March 31, 2021, the Company recorded royalty revenue receivable of $3, and advanced expenses of $16, leaving an aggregate receivable balance of $701 at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and December 31, 2020, the Company had accounts payable due to CCB of $557 and $1,034, respectively.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Lindsay Martin, daughter of a director of the Company, is employed as Vice President of Marketing. Ms. Martin was paid approximately $87 and $42, respectively, for her services during the three months ended March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May 5, 2021, the Company entered into a placement agency agreement with Roth Capital Partners, LLC (the “Placement Agent”) and a securities purchase agreement with a certain purchaser for the purchase and sale of shares of the Company’s common stock, par value $0.0001 per share, in an offering of securities registered under an effective registration statement filed with the Securities and Exchange Commission (“SEC”) pursuant to the Securities Act of 1933, as amended (SEC File No. 333-229105). In the offering, the Company sold 6,680,000 shares of common stock, at a price of $1.18 per share (the “Offering”). </w:t>
      </w:r>
      <w:r>
        <w:rPr>
          <w:rFonts w:ascii="Arial" w:cs="Arial" w:eastAsia="Arial" w:hAnsi="Arial"/>
          <w:sz w:val="18"/>
          <w:szCs w:val="18"/>
          <w:color w:val="222222"/>
        </w:rPr>
        <w:t>The offering closed on May 7, 2021</w:t>
      </w:r>
      <w:r>
        <w:rPr>
          <w:rFonts w:ascii="Arial" w:cs="Arial" w:eastAsia="Arial" w:hAnsi="Arial"/>
          <w:sz w:val="18"/>
          <w:szCs w:val="18"/>
          <w:color w:val="auto"/>
        </w:rPr>
        <w: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 period of 90 days after the closing date of the sale of the shares of common stock, the provisions of the securities purchase agreement generally prohibit the Company from issuing or agreeing to issue shares of common stock or common stock equivalents other than under equity compensation plans, outstanding rights to acquire common stock or common stock equivalents, or in connection with certain acquisitions or strategic transactions. The placement agency agreement provides that the Company will indemnify the Placement Agent against certain liabilities, including liabilities under the Securities Act of 1933, as amended. The Placement Agent agreed to use reasonable best efforts to arrange for the sale of the shares of common stock being issued and sold in the Offering. The Placement Agent will be paid a total cash fee at the closing of the Offering equal to 6.5% of the gross cash proceeds received by the Company from the sale of the shares of common stock in the offering.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 and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Quarterly Report on Form 10-Q as well as our other public filings or public statements include forward-looking statements within the meaning of the Private Securities Litigation Reform Act of 1995. Forward-looking statements are identified by terms and phrases such as “anticipate,” “believe,” “continue,” “could,” “estimate,” “expect,” “intend,” “may,” “plan,” “predict,” “project,” “should,” and “will” and similar expressions and include references to assumptions and relate to our future prospects, developments and business strategies.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These forward-looking statements involve known and unknown risks, assumptions and uncertainties and other factors that may cause our actual results, levels of activity, performance or achievements to be materially different from any future results, levels of activity, performance, or achievements expressed or implied by forward-looking statements. These risks, assumptions and uncertainties include difficulty in marketing Reed’s products and services, maintaining and protecting brand recognition, Reed’s ability to qualify for forgiveness of the PPP loan, the need for significant capital, dependence on third party distributors, dependence on third party brewers, increasing costs of fuel and freight, protection of intellectual property, competition and other factors, any of which could have an adverse effect on the business plans of Reed’s, its reputation in the industry or its expected financial return from operations and results of operations. These risks, assumptions and uncertainties are not necessarily all of the important factors that could cause actual results to differ materially from those expressed in any of our forward-looking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undertake no obligation to update or revise the forward-looking statements included in this report, whether as a result of new information, future events or otherwise, after the date of this report. Our actual results, performance or achievements could differ materially from the results expressed in, or implied by, these forward-looking statements.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appearing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2021, the Company fully utilized their expanded network of co-packers and continues to adhere to strict set of quality protocols. In addition to our traditional sales channels, the Company is expanding in the drug, convenience and ecommerce channels including their branded web sites and Amazon to offer its line of shots, ginger candy and drinks packaged in cans.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remains focused on driving sales growth and improving margin.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 However, the Company experienced elevated transportation costs over the prior year and anticipates these costs to remain elevated for the balance of the year. Plans have been developed to mitigate the impact of these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ended March 31, 2021, the COVID-19 pandemic has impacted our operating results and the Company anticipates a continued impact for the balance of the year. In addition,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Through March 31, 2021, the Company has experienced higher transportation expenses as the capacity in the freight market has not kept up with demand.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that costs will continue to increase throughout the year. However, mitigation plans are being implemented to manage this risk.</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without significant incremental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March 31, 2021,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for the period ended March 31, 2021 were up 28% from the prior year period. Through March 31, 2021,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7820" w:type="dxa"/>
            <w:vAlign w:val="bottom"/>
            <w:gridSpan w:val="5"/>
          </w:tcPr>
          <w:p>
            <w:pPr>
              <w:spacing w:after="0"/>
              <w:rPr>
                <w:sz w:val="20"/>
                <w:szCs w:val="20"/>
                <w:color w:val="auto"/>
              </w:rPr>
            </w:pPr>
            <w:r>
              <w:rPr>
                <w:rFonts w:ascii="Arial" w:cs="Arial" w:eastAsia="Arial" w:hAnsi="Arial"/>
                <w:sz w:val="18"/>
                <w:szCs w:val="18"/>
                <w:b w:val="1"/>
                <w:bCs w:val="1"/>
                <w:color w:val="auto"/>
                <w:w w:val="98"/>
              </w:rPr>
              <w:t>Results of Operations – Three Months Ended March 31, 2021 as compared to March 31, 2020</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640" w:type="dxa"/>
            <w:vAlign w:val="bottom"/>
            <w:gridSpan w:val="8"/>
          </w:tcPr>
          <w:p>
            <w:pPr>
              <w:spacing w:after="0"/>
              <w:rPr>
                <w:sz w:val="20"/>
                <w:szCs w:val="20"/>
                <w:color w:val="auto"/>
              </w:rPr>
            </w:pPr>
            <w:r>
              <w:rPr>
                <w:rFonts w:ascii="Arial" w:cs="Arial" w:eastAsia="Arial" w:hAnsi="Arial"/>
                <w:sz w:val="18"/>
                <w:szCs w:val="18"/>
                <w:color w:val="auto"/>
                <w:w w:val="97"/>
              </w:rPr>
              <w:t>The following table sets forth key statistics for the three months ended March 31, 2021 and 2020, respectively, in thousands.</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2"/>
        </w:trPr>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w w:val="97"/>
              </w:rPr>
              <w:t>Three Months Ended March 31,</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Pct.</w:t>
            </w:r>
          </w:p>
        </w:tc>
      </w:tr>
      <w:tr>
        <w:trPr>
          <w:trHeight w:val="237"/>
        </w:trPr>
        <w:tc>
          <w:tcPr>
            <w:tcW w:w="49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sales (A)</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1,028</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6,653</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i w:val="1"/>
                <w:iCs w:val="1"/>
                <w:color w:val="auto"/>
              </w:rPr>
              <w:t>% of Gross sales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62%</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63%</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68%</w:t>
            </w: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70%</w:t>
            </w: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49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3,853</w:t>
            </w:r>
          </w:p>
        </w:tc>
        <w:tc>
          <w:tcPr>
            <w:tcW w:w="3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2,870</w:t>
            </w:r>
          </w:p>
        </w:tc>
        <w:tc>
          <w:tcPr>
            <w:tcW w:w="380" w:type="dxa"/>
            <w:vAlign w:val="bottom"/>
            <w:tcBorders>
              <w:top w:val="single" w:sz="8" w:color="CCEEFF"/>
              <w:bottom w:val="single" w:sz="8" w:color="CCEEFF"/>
            </w:tcBorders>
          </w:tcPr>
          <w:p>
            <w:pPr>
              <w:spacing w:after="0"/>
              <w:rPr>
                <w:sz w:val="18"/>
                <w:szCs w:val="18"/>
                <w:color w:val="auto"/>
              </w:rPr>
            </w:pPr>
          </w:p>
        </w:tc>
        <w:tc>
          <w:tcPr>
            <w:tcW w:w="16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34%</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32%</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30%</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3,286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1,263</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27%</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13%</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4.4</w:t>
            </w:r>
          </w:p>
        </w:tc>
        <w:tc>
          <w:tcPr>
            <w:tcW w:w="30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2.3</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2,215</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1,925</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18%</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20%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37"/>
        </w:trPr>
        <w:tc>
          <w:tcPr>
            <w:tcW w:w="496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21%</w:t>
            </w:r>
          </w:p>
        </w:tc>
        <w:tc>
          <w:tcPr>
            <w:tcW w:w="3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20%</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expense</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86,631,304</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47,595,206</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202" w:lineRule="exact"/>
        <w:rPr>
          <w:sz w:val="20"/>
          <w:szCs w:val="20"/>
          <w:color w:val="auto"/>
        </w:rPr>
      </w:pPr>
    </w:p>
    <w:p>
      <w:pPr>
        <w:jc w:val="both"/>
        <w:ind w:firstLine="8"/>
        <w:spacing w:after="0" w:line="254" w:lineRule="auto"/>
        <w:tabs>
          <w:tab w:leader="none" w:pos="281"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considers Gross Sales to be a key performance indicator in our Management's Discussion and Analysis (MD&amp;A). Gross Sales is a non-GAAP measure. We define Gross Sales as the total sales for the Company unadjusted for costs related to generating those sales. Gross Sales is calculated from the commonly understood GAAP amount, Net Sales, and adjusted to remove the reduction (i.e. adds back) promotional expense in the period the related revenue is recorded, with the resulting performance amount labeled Gross Sales. Management utilizes gross sales as an indicator of and to monitor operating performance of products and salespersons before the effect of any promotional or other allowances, which are determined in accordance with GAAP, and can mask certain performance issues. We believe that the presentation of gross sales provides a useful measure of our operating performance. Additionally, gross sales may not be comparable to similarly titled measures used by other companies, as gross sales have been defined by our internal reporting practices.</w:t>
      </w:r>
    </w:p>
    <w:p>
      <w:pPr>
        <w:spacing w:after="0" w:line="191" w:lineRule="exact"/>
        <w:rPr>
          <w:rFonts w:ascii="Arial" w:cs="Arial" w:eastAsia="Arial" w:hAnsi="Arial"/>
          <w:sz w:val="18"/>
          <w:szCs w:val="18"/>
          <w:i w:val="1"/>
          <w:iCs w:val="1"/>
          <w:color w:val="auto"/>
        </w:rPr>
      </w:pPr>
    </w:p>
    <w:p>
      <w:pPr>
        <w:jc w:val="both"/>
        <w:ind w:firstLine="8"/>
        <w:spacing w:after="0" w:line="268" w:lineRule="auto"/>
        <w:tabs>
          <w:tab w:leader="none" w:pos="278"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We define promotional and other allowances as costs deducted from gross sales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 sets forth key statistics for the transition of the Company’s top line activity from the first quarter of 2020 through the first quarter of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2020</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color w:val="auto"/>
                <w:w w:val="90"/>
              </w:rPr>
              <w:t>Q1 Per Case</w:t>
            </w: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39"/>
              <w:spacing w:after="0"/>
              <w:rPr>
                <w:sz w:val="20"/>
                <w:szCs w:val="20"/>
                <w:color w:val="auto"/>
              </w:rPr>
            </w:pPr>
            <w:r>
              <w:rPr>
                <w:rFonts w:ascii="Arial" w:cs="Arial" w:eastAsia="Arial" w:hAnsi="Arial"/>
                <w:sz w:val="16"/>
                <w:szCs w:val="16"/>
                <w:b w:val="1"/>
                <w:bCs w:val="1"/>
                <w:color w:val="auto"/>
              </w:rPr>
              <w:t>vs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ind w:right="680"/>
              <w:spacing w:after="0"/>
              <w:rPr>
                <w:sz w:val="20"/>
                <w:szCs w:val="20"/>
                <w:color w:val="auto"/>
              </w:rPr>
            </w:pPr>
            <w:r>
              <w:rPr>
                <w:rFonts w:ascii="Arial" w:cs="Arial" w:eastAsia="Arial" w:hAnsi="Arial"/>
                <w:sz w:val="16"/>
                <w:szCs w:val="16"/>
                <w:color w:val="auto"/>
              </w:rPr>
              <w:t>Q1</w:t>
            </w:r>
          </w:p>
        </w:tc>
        <w:tc>
          <w:tcPr>
            <w:tcW w:w="8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PY</w:t>
            </w:r>
          </w:p>
        </w:tc>
        <w:tc>
          <w:tcPr>
            <w:tcW w:w="180" w:type="dxa"/>
            <w:vAlign w:val="bottom"/>
          </w:tcPr>
          <w:p>
            <w:pPr>
              <w:spacing w:after="0"/>
              <w:rPr>
                <w:sz w:val="19"/>
                <w:szCs w:val="19"/>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6"/>
                <w:szCs w:val="16"/>
                <w:color w:val="auto"/>
              </w:rPr>
              <w:t>Q1</w:t>
            </w:r>
          </w:p>
        </w:tc>
        <w:tc>
          <w:tcPr>
            <w:tcW w:w="140" w:type="dxa"/>
            <w:vAlign w:val="bottom"/>
          </w:tcPr>
          <w:p>
            <w:pPr>
              <w:spacing w:after="0"/>
              <w:rPr>
                <w:sz w:val="19"/>
                <w:szCs w:val="19"/>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6"/>
                <w:szCs w:val="16"/>
                <w:color w:val="auto"/>
              </w:rPr>
              <w:t>Q2</w:t>
            </w:r>
          </w:p>
        </w:tc>
        <w:tc>
          <w:tcPr>
            <w:tcW w:w="10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6"/>
                <w:szCs w:val="16"/>
                <w:color w:val="auto"/>
              </w:rPr>
              <w:t>Q3</w:t>
            </w:r>
          </w:p>
        </w:tc>
        <w:tc>
          <w:tcPr>
            <w:tcW w:w="140" w:type="dxa"/>
            <w:vAlign w:val="bottom"/>
          </w:tcPr>
          <w:p>
            <w:pPr>
              <w:spacing w:after="0"/>
              <w:rPr>
                <w:sz w:val="19"/>
                <w:szCs w:val="19"/>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6"/>
                <w:szCs w:val="16"/>
                <w:color w:val="auto"/>
              </w:rPr>
              <w:t>Q4</w:t>
            </w:r>
          </w:p>
        </w:tc>
        <w:tc>
          <w:tcPr>
            <w:tcW w:w="120" w:type="dxa"/>
            <w:vAlign w:val="bottom"/>
          </w:tcPr>
          <w:p>
            <w:pPr>
              <w:spacing w:after="0"/>
              <w:rPr>
                <w:sz w:val="19"/>
                <w:szCs w:val="19"/>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6"/>
                <w:szCs w:val="16"/>
                <w:color w:val="auto"/>
              </w:rPr>
              <w:t>FY</w:t>
            </w:r>
          </w:p>
        </w:tc>
        <w:tc>
          <w:tcPr>
            <w:tcW w:w="140" w:type="dxa"/>
            <w:vAlign w:val="bottom"/>
          </w:tcPr>
          <w:p>
            <w:pPr>
              <w:spacing w:after="0"/>
              <w:rPr>
                <w:sz w:val="19"/>
                <w:szCs w:val="19"/>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w w:val="95"/>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w w:val="95"/>
              </w:rPr>
              <w:t>2020</w:t>
            </w:r>
          </w:p>
        </w:tc>
        <w:tc>
          <w:tcPr>
            <w:tcW w:w="220" w:type="dxa"/>
            <w:vAlign w:val="bottom"/>
          </w:tcPr>
          <w:p>
            <w:pPr>
              <w:spacing w:after="0"/>
              <w:rPr>
                <w:sz w:val="19"/>
                <w:szCs w:val="19"/>
                <w:color w:val="auto"/>
              </w:rPr>
            </w:pPr>
          </w:p>
        </w:tc>
        <w:tc>
          <w:tcPr>
            <w:tcW w:w="820" w:type="dxa"/>
            <w:vAlign w:val="bottom"/>
            <w:gridSpan w:val="3"/>
          </w:tcPr>
          <w:p>
            <w:pPr>
              <w:ind w:left="140"/>
              <w:spacing w:after="0"/>
              <w:rPr>
                <w:sz w:val="20"/>
                <w:szCs w:val="20"/>
                <w:color w:val="auto"/>
              </w:rPr>
            </w:pPr>
            <w:r>
              <w:rPr>
                <w:rFonts w:ascii="Arial" w:cs="Arial" w:eastAsia="Arial" w:hAnsi="Arial"/>
                <w:sz w:val="16"/>
                <w:szCs w:val="16"/>
                <w:color w:val="auto"/>
              </w:rPr>
              <w:t>vs PY</w:t>
            </w:r>
          </w:p>
        </w:tc>
        <w:tc>
          <w:tcPr>
            <w:tcW w:w="0" w:type="dxa"/>
            <w:vAlign w:val="bottom"/>
          </w:tcPr>
          <w:p>
            <w:pPr>
              <w:spacing w:after="0"/>
              <w:rPr>
                <w:sz w:val="1"/>
                <w:szCs w:val="1"/>
                <w:color w:val="auto"/>
              </w:rPr>
            </w:pPr>
          </w:p>
        </w:tc>
      </w:tr>
      <w:tr>
        <w:trPr>
          <w:trHeight w:val="203"/>
        </w:trPr>
        <w:tc>
          <w:tcPr>
            <w:tcW w:w="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Cases:</w:t>
            </w: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ind w:left="120"/>
              <w:spacing w:after="0"/>
              <w:rPr>
                <w:sz w:val="20"/>
                <w:szCs w:val="20"/>
                <w:color w:val="auto"/>
              </w:rPr>
            </w:pPr>
            <w:r>
              <w:rPr>
                <w:rFonts w:ascii="Arial" w:cs="Arial" w:eastAsia="Arial" w:hAnsi="Arial"/>
                <w:sz w:val="16"/>
                <w:szCs w:val="16"/>
                <w:color w:val="auto"/>
              </w:rPr>
              <w:t>Reed’s</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1,254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0" w:type="dxa"/>
            <w:vAlign w:val="bottom"/>
            <w:shd w:val="clear" w:color="auto" w:fill="CCEEFF"/>
          </w:tcPr>
          <w:p>
            <w:pPr>
              <w:spacing w:after="0"/>
              <w:rPr>
                <w:sz w:val="18"/>
                <w:szCs w:val="18"/>
                <w:color w:val="auto"/>
              </w:rPr>
            </w:pPr>
          </w:p>
        </w:tc>
        <w:tc>
          <w:tcPr>
            <w:tcW w:w="1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Virgil’s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vMerge w:val="restart"/>
          </w:tcPr>
          <w:p>
            <w:pPr>
              <w:ind w:left="120"/>
              <w:spacing w:after="0"/>
              <w:rPr>
                <w:sz w:val="20"/>
                <w:szCs w:val="20"/>
                <w:color w:val="auto"/>
              </w:rPr>
            </w:pPr>
            <w:r>
              <w:rPr>
                <w:rFonts w:ascii="Arial" w:cs="Arial" w:eastAsia="Arial" w:hAnsi="Arial"/>
                <w:sz w:val="16"/>
                <w:szCs w:val="16"/>
                <w:color w:val="auto"/>
              </w:rPr>
              <w:t>Total Core</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643</w:t>
            </w: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632</w:t>
            </w:r>
          </w:p>
        </w:tc>
        <w:tc>
          <w:tcPr>
            <w:tcW w:w="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2,458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1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 Core</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1120" w:type="dxa"/>
            <w:vAlign w:val="bottom"/>
          </w:tcPr>
          <w:p>
            <w:pPr>
              <w:ind w:left="120"/>
              <w:spacing w:after="0"/>
              <w:rPr>
                <w:sz w:val="20"/>
                <w:szCs w:val="20"/>
                <w:color w:val="auto"/>
              </w:rPr>
            </w:pPr>
            <w:r>
              <w:rPr>
                <w:rFonts w:ascii="Arial" w:cs="Arial" w:eastAsia="Arial" w:hAnsi="Arial"/>
                <w:sz w:val="16"/>
                <w:szCs w:val="16"/>
                <w:color w:val="auto"/>
              </w:rPr>
              <w:t>Candy</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920" w:type="dxa"/>
            <w:vAlign w:val="bottom"/>
            <w:shd w:val="clear" w:color="auto" w:fill="CCEEFF"/>
          </w:tcPr>
          <w:p>
            <w:pPr>
              <w:spacing w:after="0"/>
              <w:rPr>
                <w:sz w:val="2"/>
                <w:szCs w:val="2"/>
                <w:color w:val="auto"/>
              </w:rPr>
            </w:pPr>
          </w:p>
        </w:tc>
        <w:tc>
          <w:tcPr>
            <w:tcW w:w="11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6"/>
                <w:szCs w:val="16"/>
                <w:color w:val="auto"/>
                <w:w w:val="98"/>
              </w:rPr>
              <w:t>Gross Sales: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ind w:left="120"/>
              <w:spacing w:after="0"/>
              <w:rPr>
                <w:sz w:val="20"/>
                <w:szCs w:val="20"/>
                <w:color w:val="auto"/>
              </w:rPr>
            </w:pPr>
            <w:r>
              <w:rPr>
                <w:rFonts w:ascii="Arial" w:cs="Arial" w:eastAsia="Arial" w:hAnsi="Arial"/>
                <w:sz w:val="16"/>
                <w:szCs w:val="16"/>
                <w:color w:val="auto"/>
              </w:rPr>
              <w:t>Core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12,955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10,175</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11,940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11,622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11,587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45,324</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17.6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18.5</w:t>
            </w:r>
          </w:p>
        </w:tc>
        <w:tc>
          <w:tcPr>
            <w:tcW w:w="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1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 Core</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1120" w:type="dxa"/>
            <w:vAlign w:val="bottom"/>
          </w:tcPr>
          <w:p>
            <w:pPr>
              <w:ind w:left="120"/>
              <w:spacing w:after="0"/>
              <w:rPr>
                <w:sz w:val="20"/>
                <w:szCs w:val="20"/>
                <w:color w:val="auto"/>
              </w:rPr>
            </w:pPr>
            <w:r>
              <w:rPr>
                <w:rFonts w:ascii="Arial" w:cs="Arial" w:eastAsia="Arial" w:hAnsi="Arial"/>
                <w:sz w:val="16"/>
                <w:szCs w:val="16"/>
                <w:color w:val="auto"/>
              </w:rPr>
              <w:t>Candy</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34.3</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920" w:type="dxa"/>
            <w:vAlign w:val="bottom"/>
            <w:shd w:val="clear" w:color="auto" w:fill="CCEEFF"/>
          </w:tcPr>
          <w:p>
            <w:pPr>
              <w:spacing w:after="0"/>
              <w:rPr>
                <w:sz w:val="2"/>
                <w:szCs w:val="2"/>
                <w:color w:val="auto"/>
              </w:rPr>
            </w:pPr>
          </w:p>
        </w:tc>
        <w:tc>
          <w:tcPr>
            <w:tcW w:w="11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10,551</w:t>
            </w: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12,229</w:t>
            </w: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11,897</w:t>
            </w:r>
          </w:p>
        </w:tc>
        <w:tc>
          <w:tcPr>
            <w:tcW w:w="240" w:type="dxa"/>
            <w:vAlign w:val="bottom"/>
            <w:tcBorders>
              <w:right w:val="single" w:sz="8" w:color="CCEEFF"/>
            </w:tcBorders>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12,124</w:t>
            </w:r>
          </w:p>
        </w:tc>
        <w:tc>
          <w:tcPr>
            <w:tcW w:w="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46,801</w:t>
            </w: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6"/>
                <w:szCs w:val="16"/>
                <w:color w:val="auto"/>
              </w:rPr>
              <w:t>Discounts:</w:t>
            </w:r>
          </w:p>
        </w:tc>
        <w:tc>
          <w:tcPr>
            <w:tcW w:w="1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(1,135)</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20"/>
                <w:szCs w:val="20"/>
                <w:color w:val="auto"/>
              </w:rPr>
            </w:pPr>
            <w:r>
              <w:rPr>
                <w:rFonts w:ascii="Arial" w:cs="Arial" w:eastAsia="Arial" w:hAnsi="Arial"/>
                <w:sz w:val="16"/>
                <w:szCs w:val="16"/>
                <w:color w:val="auto"/>
              </w:rPr>
              <w:t>COGS: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ind w:left="120"/>
              <w:spacing w:after="0"/>
              <w:rPr>
                <w:sz w:val="20"/>
                <w:szCs w:val="20"/>
                <w:color w:val="auto"/>
              </w:rPr>
            </w:pPr>
            <w:r>
              <w:rPr>
                <w:rFonts w:ascii="Arial" w:cs="Arial" w:eastAsia="Arial" w:hAnsi="Arial"/>
                <w:sz w:val="16"/>
                <w:szCs w:val="16"/>
                <w:color w:val="auto"/>
              </w:rPr>
              <w:t>Core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(8,122)</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(6,414)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(7,674)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(7,032)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(7,019)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7"/>
              </w:rPr>
              <w:t>(28,139)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(11.1)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(11.1)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1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 Core</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1120" w:type="dxa"/>
            <w:vAlign w:val="bottom"/>
          </w:tcPr>
          <w:p>
            <w:pPr>
              <w:ind w:left="120"/>
              <w:spacing w:after="0"/>
              <w:rPr>
                <w:sz w:val="20"/>
                <w:szCs w:val="20"/>
                <w:color w:val="auto"/>
              </w:rPr>
            </w:pPr>
            <w:r>
              <w:rPr>
                <w:rFonts w:ascii="Arial" w:cs="Arial" w:eastAsia="Arial" w:hAnsi="Arial"/>
                <w:sz w:val="16"/>
                <w:szCs w:val="16"/>
                <w:color w:val="auto"/>
              </w:rPr>
              <w:t>Candy</w:t>
            </w: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(165)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(129)</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(600)</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(23.0)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920" w:type="dxa"/>
            <w:vAlign w:val="bottom"/>
            <w:shd w:val="clear" w:color="auto" w:fill="CCEEFF"/>
          </w:tcPr>
          <w:p>
            <w:pPr>
              <w:spacing w:after="0"/>
              <w:rPr>
                <w:sz w:val="2"/>
                <w:szCs w:val="2"/>
                <w:color w:val="auto"/>
              </w:rPr>
            </w:pPr>
          </w:p>
        </w:tc>
        <w:tc>
          <w:tcPr>
            <w:tcW w:w="11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CCEEFF"/>
            </w:tcBorders>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(8,293)</w:t>
            </w:r>
          </w:p>
        </w:tc>
        <w:tc>
          <w:tcPr>
            <w:tcW w:w="2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w:t>
            </w:r>
          </w:p>
        </w:tc>
        <w:tc>
          <w:tcPr>
            <w:tcW w:w="260" w:type="dxa"/>
            <w:vAlign w:val="bottom"/>
            <w:tcBorders>
              <w:right w:val="single" w:sz="8" w:color="CCEEFF"/>
            </w:tcBorders>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(7,865)</w:t>
            </w: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w:t>
            </w:r>
          </w:p>
        </w:tc>
        <w:tc>
          <w:tcPr>
            <w:tcW w:w="240" w:type="dxa"/>
            <w:vAlign w:val="bottom"/>
            <w:tcBorders>
              <w:right w:val="single" w:sz="8" w:color="CCEEFF"/>
            </w:tcBorders>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(7,155)</w:t>
            </w:r>
          </w:p>
        </w:tc>
        <w:tc>
          <w:tcPr>
            <w:tcW w:w="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(28,849)</w:t>
            </w:r>
          </w:p>
        </w:tc>
        <w:tc>
          <w:tcPr>
            <w:tcW w:w="240" w:type="dxa"/>
            <w:vAlign w:val="bottom"/>
            <w:tcBorders>
              <w:right w:val="single" w:sz="8" w:color="CCEEFF"/>
            </w:tcBorders>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2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0" w:type="dxa"/>
            <w:vAlign w:val="bottom"/>
            <w:shd w:val="clear" w:color="auto" w:fill="CCEEFF"/>
          </w:tcPr>
          <w:p>
            <w:pPr>
              <w:spacing w:after="0"/>
              <w:rPr>
                <w:sz w:val="20"/>
                <w:szCs w:val="20"/>
                <w:color w:val="auto"/>
              </w:rPr>
            </w:pPr>
            <w:r>
              <w:rPr>
                <w:rFonts w:ascii="Arial" w:cs="Arial" w:eastAsia="Arial" w:hAnsi="Arial"/>
                <w:sz w:val="16"/>
                <w:szCs w:val="16"/>
                <w:color w:val="auto"/>
              </w:rPr>
              <w:t>Gross</w:t>
            </w: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20" w:type="dxa"/>
            <w:vAlign w:val="bottom"/>
            <w:shd w:val="clear" w:color="auto" w:fill="CCEEFF"/>
          </w:tcPr>
          <w:p>
            <w:pPr>
              <w:spacing w:after="0"/>
              <w:rPr>
                <w:sz w:val="20"/>
                <w:szCs w:val="20"/>
                <w:color w:val="auto"/>
              </w:rPr>
            </w:pPr>
            <w:r>
              <w:rPr>
                <w:rFonts w:ascii="Arial" w:cs="Arial" w:eastAsia="Arial" w:hAnsi="Arial"/>
                <w:sz w:val="16"/>
                <w:szCs w:val="16"/>
                <w:color w:val="auto"/>
              </w:rPr>
              <w:t>Margin:</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12,766</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20" w:type="dxa"/>
            <w:vAlign w:val="bottom"/>
          </w:tcPr>
          <w:p>
            <w:pPr>
              <w:spacing w:after="0"/>
              <w:rPr>
                <w:sz w:val="20"/>
                <w:szCs w:val="20"/>
                <w:color w:val="auto"/>
              </w:rPr>
            </w:pPr>
            <w:r>
              <w:rPr>
                <w:rFonts w:ascii="Arial" w:cs="Arial" w:eastAsia="Arial" w:hAnsi="Arial"/>
                <w:sz w:val="16"/>
                <w:szCs w:val="16"/>
                <w:color w:val="auto"/>
              </w:rPr>
              <w:t>as % Net</w:t>
            </w: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20"/>
                <w:szCs w:val="20"/>
                <w:color w:val="auto"/>
              </w:rPr>
            </w:pPr>
            <w:r>
              <w:rPr>
                <w:rFonts w:ascii="Arial" w:cs="Arial" w:eastAsia="Arial" w:hAnsi="Arial"/>
                <w:sz w:val="16"/>
                <w:szCs w:val="16"/>
                <w:color w:val="auto"/>
              </w:rPr>
              <w:t>Sales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311" w:lineRule="auto"/>
        <w:rPr>
          <w:sz w:val="20"/>
          <w:szCs w:val="20"/>
          <w:color w:val="auto"/>
        </w:rPr>
      </w:pPr>
      <w:r>
        <w:rPr>
          <w:rFonts w:ascii="Arial" w:cs="Arial" w:eastAsia="Arial" w:hAnsi="Arial"/>
          <w:sz w:val="16"/>
          <w:szCs w:val="16"/>
          <w:color w:val="auto"/>
        </w:rPr>
        <w:t>As part of the Company’s ongoing initiative to simplify and streamline operations by reducing the number of SKUs, the Company has identified core products on which to place its strategic focus. These core products consist of Reed’s and Virgil’s branded beverages. Beginning in 2020, our Wellness Shots are captured in Non-core products. Non-core products for 2020 consist primarily of slower selling discontinued Reed’s and Virgil’s SKUs.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result of our decision to focus on the core Reed’s and Virgil’s beverage brands and simplify operations by reducing the overall number of SKUs that we offer, the Company’s core beverage volume for the three months ended March 31, 2021, represents 98% of all beverage volume.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 brand gross revenue increased by 27% to $12,955 compared to the same period last year, driven by Reed’s volume growth of 37% and Virgil’s volume growth of 29%. The result is an increase in total gross revenue of 26%, to $13,281 in the three months ended March 31, 2021, from $10,551 during the three months ended March 31, 2020. Price on our core brands decreased 5% to $17.65 per case due to a shift in mix to lower priced, higher margin products.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Discounts as a percentage of gross sales decreased to 9% from 10% in the same period last year. As a result, net sales revenue grew 28% in the three months ended March 31, 2021 to $12,146, compared to $9,523 in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goods sold increased $1,640 during the three months ended March 31, 2021 as compared to the same period last year. As a percentage of net sales, cost of goods sold for the three months ended March 31, 2021 was 68% as compared to 70% for the same period last year.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total cost of goods per case decreased to $11.18 per case in the three months ended March 31, 2021 from $11.23 per case for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cost of goods sold per case on core brands was $11.07 during the year months ended March 31, 2021, compared to $11.11 for the same period last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to 32% for the three months ended March 31, 2021, compared to 30% for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Delivery and handling expenses consist of delivery costs to customers and warehousing costs incurred for handling our finished goods after production. Delivery and handling expenses increased by $2,023 in the three months ended March 31, 2021 to $3,286 from $1,263 in the same period last year, driven by increased volumes, ecommerce fulfillment costs, and increasing freight rates due to Covid-19. Delivery costs in the three months ended March 31, 2021 were 27% of net sales and $4.43 per case, compared to 13% of net sales and $2.26 per case during the same period last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selling and marketing expenses were $2,215 during the three months ended March 31, 2021, compared to $1,925 during the same period last year. As a percentage of net sales, selling and marketing costs decreased to 18% during the three months ended March 31, 2021, as compared to 20% during the same period last year. The increase was driven by an increase in sales force headcount and consumer facing marketing costs partially offset by reduced expenditures on trade shows and sponsorships and lower stock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the cost of executive, administrative, and finance personnel, as well as professional fees. General and administrative expenses increased in the three months ended March 31, 2021 to $2,603 from $1,932, an increase of $671 over the same period last year. The increase was driven by legal settlements, employee costs, consulting fees, public company and licensing costs, partially offset by lower stock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$4,251 for the three months ended March 31, 2021, as compared to a loss of $2,250 in the same period last year driven by increased gross profit offset by increases in operating expenses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expense for the three months ended March 31, 2021, consisted of $256 of interest expense. During the same period last year, interest and other expense consisted of $336 of interest expense offset by the change in fair value of our warrant liability of $6.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legal settlements, and one-time restructuring-related costs including employee severance and asset impairment.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a reconciliation of net loss to Modified EBITDA for the three months ended March 31, 2021 and 2020 (unaudited;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26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top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1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Legal settlements</w:t>
            </w:r>
          </w:p>
        </w:tc>
        <w:tc>
          <w:tcPr>
            <w:tcW w:w="1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EBITDA adjustments</w:t>
            </w:r>
          </w:p>
        </w:tc>
        <w:tc>
          <w:tcPr>
            <w:tcW w:w="116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w:t>
            </w:r>
          </w:p>
        </w:tc>
        <w:tc>
          <w:tcPr>
            <w:tcW w:w="1160" w:type="dxa"/>
            <w:vAlign w:val="bottom"/>
            <w:shd w:val="clear" w:color="auto" w:fill="CCEEFF"/>
          </w:tcPr>
          <w:p>
            <w:pPr>
              <w:jc w:val="right"/>
              <w:ind w:right="10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(3,444)</w:t>
            </w:r>
          </w:p>
        </w:tc>
        <w:tc>
          <w:tcPr>
            <w:tcW w:w="1260" w:type="dxa"/>
            <w:vAlign w:val="bottom"/>
            <w:gridSpan w:val="2"/>
            <w:shd w:val="clear" w:color="auto" w:fill="CCEEFF"/>
          </w:tcPr>
          <w:p>
            <w:pPr>
              <w:jc w:val="right"/>
              <w:ind w:right="98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March 31, 2021, the Company recorded a net loss of $4,507 and used cash in operations of $5,059. As of March 31, 2021, we had a cash balance of $155 with borrowing capacity of $2,513, a stockholder’s equity of $6,770 and a working capital of $5,698, compared to a cash balance of $595 with borrowing capacity of $5,166, stockholders’ equity of $10,404 and a working capital of $9,528 at December 31, 2020. Notwithstanding the net loss for the three months ended March 31, 2021, management projects adequate cash from operations and available line of credit to ensure continuation of the Company as a going concern for at least one year from the date of this quarterly report.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Use of Estimates and Assumptions. </w:t>
      </w:r>
      <w:r>
        <w:rPr>
          <w:rFonts w:ascii="Arial" w:cs="Arial" w:eastAsia="Arial" w:hAnsi="Arial"/>
          <w:sz w:val="17"/>
          <w:szCs w:val="17"/>
          <w:color w:val="auto"/>
        </w:rPr>
        <w:t>The preparation of financial statements in conformity with generally accepted accounting principles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receivables,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Accounts receivable are recorded at the invoiced amounts. The Company evaluates the collectability of its trade accounts receivable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is stated at the lower of cost or net realizable value. We regularly review our inventory quantities on hand and record a provision for</w:t>
      </w:r>
      <w:r>
        <w:rPr>
          <w:rFonts w:ascii="Arial" w:cs="Arial" w:eastAsia="Arial" w:hAnsi="Arial"/>
          <w:sz w:val="18"/>
          <w:szCs w:val="18"/>
          <w:i w:val="1"/>
          <w:iCs w:val="1"/>
          <w:color w:val="auto"/>
        </w:rPr>
        <w:t xml:space="preserve"> </w:t>
      </w:r>
      <w:r>
        <w:rPr>
          <w:rFonts w:ascii="Arial" w:cs="Arial" w:eastAsia="Arial" w:hAnsi="Arial"/>
          <w:sz w:val="18"/>
          <w:szCs w:val="18"/>
          <w:color w:val="auto"/>
        </w:rPr>
        <w:t>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Revenue and costs of sales are recognized when control of the products transfers to our customer, which generally occurs upon</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Stock Compensation Expense</w:t>
      </w:r>
      <w:r>
        <w:rPr>
          <w:rFonts w:ascii="Arial" w:cs="Arial" w:eastAsia="Arial" w:hAnsi="Arial"/>
          <w:sz w:val="18"/>
          <w:szCs w:val="18"/>
          <w:color w:val="auto"/>
        </w:rPr>
        <w:t>. The Company periodically issues stock options and restricted stock awards to employees and non-employees in non-capital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raising transactions for services and for financing costs. The Company accounts for such grants issued and vesting based on ASC 718, Compensation-Stock Compensation whereby the value of the award is measured on the date of grant and recognized as compensation expense on the straight-line basis over the vesting period. The Company recognizes the fair value of stock-based compensation within its Statements of Operations with classification depending on the nature of the services rendered.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March 31, 2021,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three months ended March 31, 2021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various legal proceedings from time to time in the ordinary course of business, none of which are required to be disclosed under this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following risk factors and the other information set forth in this Quarterly Report on Form 10-Q, you should carefully consider the risk factors discussed in Part I, Item 1A of our Annual Report on Form 10-K (our Form 10-K) for the year ended December 31, 2020 and any subsequent filings with the Securities and Exchange Commission (SEC) made prior to the date hereof, which could materially affect our business, financial condition, results of operations or future results. The risks and uncertainties discussed below,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The risk factor below updates, and should be read together with, the risk factors disclosed in Part I, Item 1A of our Form 10-K. Please also read the Cautionary Notice Regarding Forward-Looking Statements and Information in Part I, Item 2 of this Quarterly Report on Form 10-Q under the heading “Management’s Discussion and Analysis of Financial Condition and Results of Operations”.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entitled to forgiveness of our recently received Paycheck Protection Program Loan, and our application for the Paycheck Protection Program Loan could in the future be determined to have been impermissible.</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April 20, 2020, we were granted a Paycheck Protection Program loan (the “PPP loan”) under the Coronavirus Aid, Relief, and Economic Security Act (the “CARES Act”) administered by the U.S. Small Business Administration (the “SBA”) in the aggregate amount of $770,000 pursuant to the Paycheck Protection Program (the “PPP”) under the CARES Act. The PPP loan agreement is dated April 20, 2020, matures on April 20, 2022, bears interest at a rate of 1% per annum, with the first six months of interest deferred, is payable monthly commencing on November 2020, and is unsecured and guaranteed by the U.S. Small Business Administration. The loan term may be extended to April 20, 2025, if mutually agreed to by the Company and lender. The PPP loan may be prepaid at any time prior to maturity with no prepayment penalties. Under the CARES Act, as amended in June 2020, loan forgiveness is generally available for the sum of documented payroll costs, covered rent payments, covered mortgage interest and covered utilities during the “Covered Period”, which is 8 weeks or 24 weeks (at the election of the Company) beginning on the date of the first disbursement of the PPP Loan. We will be required to repay any portion of the outstanding principal that is not forgiven, along with accrued interest, and we cannot provide any assurance that we will be eligible for loan forgiveness, that we will apply for forgiveness, or that any amount of the PPP Loan will ultimately be forgiven by the SBA. In order to apply for the PPP Loan, we were required to certify, among other things, that the current economic uncertainty made the PPP Loan request necessary to support our ongoing operations. We made this certification in good faith after analyzing, among other things, the maintenance of our workforce, our need for additional funding to continue operations, and our ability to access alternative forms of capital in the current market environment to offset the effects of the COVID-19 pandemic. Following this analysis, we believe that we satisfied all eligibility criteria for the PPP Loan, and that our receipt of the PPP Loan is consistent with the broad objectives of the CARES Act. The certification described above is subject to interpretation. On April 23, 2020, the SBA issued guidance stating that it is unlikely that a public company with substantial market value and access to capital markets will be able to make the required certification in good faith. The lack of clarity regarding loan eligibility under the Paycheck Protection Program has resulted in significant media coverage and controversy with respect to public companies applying for and receiving loans. If, despite our good-faith belief that given our circumstances we satisfied all eligible requirements for the PPP Loan, we are later determined to have not been in compliance with these requirements or it is otherwise determined that we were ineligible to receive the PPP Loan, we may be required to repay the PPP Loan in its entirety and/or be subject to additional penalties. Should we be audited or reviewed by federal or state regulatory authorities as a result of filing an application for forgiveness of the PPP Loan or otherwise, such audit or review could result in the diversion of management’s time and attention and the incurrence of additional costs. Any of these events could have a material adverse effect on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costs of freight may have an adverse impact on our gross and operating margins.</w:t>
      </w:r>
    </w:p>
    <w:p>
      <w:pPr>
        <w:sectPr>
          <w:pgSz w:w="11900" w:h="16838" w:orient="portrait"/>
          <w:cols w:equalWidth="0" w:num="1">
            <w:col w:w="11240"/>
          </w:cols>
          <w:pgMar w:left="320" w:top="688" w:right="339" w:bottom="38"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The capacity in the freight market has not kept up with demand and increased freight rates. During the quarter ended March 31, 2021, we experienced higher transportation expenses. We believe that costs will continue to increase throughout fiscal 2021. We are implementing mitigation plans to manage this risk; however, due to the price sensitivity of our products, we may not be able to pass such increases on to our customers. For a discussion of increased delivery and handling expenses, see “Operating Expenses” under the heading “Management’s Discussion and Analysis of Financial Condition and Results of Operations” in Part I, Item 2 of this Form 10-Q.</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 that have not been previously disclosed in a Current Report on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Filed</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w w:val="90"/>
              </w:rPr>
              <w:t>Incorporated by Reference</w:t>
            </w:r>
          </w:p>
        </w:tc>
        <w:tc>
          <w:tcPr>
            <w:tcW w:w="1120" w:type="dxa"/>
            <w:vAlign w:val="bottom"/>
            <w:tcBorders>
              <w:bottom w:val="single" w:sz="8" w:color="auto"/>
            </w:tcBorders>
          </w:tcPr>
          <w:p>
            <w:pPr>
              <w:spacing w:after="0"/>
              <w:rPr>
                <w:sz w:val="20"/>
                <w:szCs w:val="20"/>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4620" w:type="dxa"/>
            <w:vAlign w:val="bottom"/>
            <w:gridSpan w:val="8"/>
          </w:tcPr>
          <w:p>
            <w:pPr>
              <w:ind w:left="1760"/>
              <w:spacing w:after="0"/>
              <w:rPr>
                <w:sz w:val="20"/>
                <w:szCs w:val="20"/>
                <w:color w:val="auto"/>
              </w:rPr>
            </w:pPr>
            <w:r>
              <w:rPr>
                <w:rFonts w:ascii="Arial" w:cs="Arial" w:eastAsia="Arial" w:hAnsi="Arial"/>
                <w:sz w:val="18"/>
                <w:szCs w:val="18"/>
                <w:b w:val="1"/>
                <w:bCs w:val="1"/>
                <w:color w:val="auto"/>
              </w:rPr>
              <w:t>Exhibit Title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Herewith</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File No.</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Date Filed</w:t>
            </w:r>
          </w:p>
        </w:tc>
      </w:tr>
      <w:tr>
        <w:trPr>
          <w:trHeight w:val="175"/>
        </w:trPr>
        <w:tc>
          <w:tcPr>
            <w:tcW w:w="7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15"/>
                <w:szCs w:val="15"/>
                <w:color w:val="auto"/>
              </w:rPr>
            </w:pPr>
          </w:p>
        </w:tc>
        <w:tc>
          <w:tcPr>
            <w:tcW w:w="4500" w:type="dxa"/>
            <w:vAlign w:val="bottom"/>
            <w:tcBorders>
              <w:top w:val="single" w:sz="8" w:color="auto"/>
              <w:bottom w:val="single" w:sz="8" w:color="0000EE"/>
            </w:tcBorders>
            <w:gridSpan w:val="6"/>
          </w:tcPr>
          <w:p>
            <w:pPr>
              <w:spacing w:after="0" w:line="176" w:lineRule="exact"/>
              <w:rPr>
                <w:rFonts w:ascii="Arial" w:cs="Arial" w:eastAsia="Arial" w:hAnsi="Arial"/>
                <w:sz w:val="18"/>
                <w:szCs w:val="18"/>
                <w:color w:val="0000EE"/>
                <w:w w:val="94"/>
              </w:rPr>
            </w:pPr>
            <w:hyperlink r:id="rId36">
              <w:r>
                <w:rPr>
                  <w:rFonts w:ascii="Arial" w:cs="Arial" w:eastAsia="Arial" w:hAnsi="Arial"/>
                  <w:sz w:val="18"/>
                  <w:szCs w:val="18"/>
                  <w:color w:val="0000EE"/>
                  <w:w w:val="94"/>
                </w:rPr>
                <w:t>Amendment dated March 11, 2021 to Financing Agreement</w:t>
              </w:r>
            </w:hyperlink>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10-K</w:t>
            </w:r>
          </w:p>
        </w:tc>
        <w:tc>
          <w:tcPr>
            <w:tcW w:w="100" w:type="dxa"/>
            <w:vAlign w:val="bottom"/>
          </w:tcPr>
          <w:p>
            <w:pPr>
              <w:spacing w:after="0"/>
              <w:rPr>
                <w:sz w:val="15"/>
                <w:szCs w:val="15"/>
                <w:color w:val="auto"/>
              </w:rPr>
            </w:pPr>
          </w:p>
        </w:tc>
        <w:tc>
          <w:tcPr>
            <w:tcW w:w="780" w:type="dxa"/>
            <w:vAlign w:val="bottom"/>
            <w:tcBorders>
              <w:top w:val="single" w:sz="8" w:color="auto"/>
            </w:tcBorders>
          </w:tcPr>
          <w:p>
            <w:pPr>
              <w:ind w:left="240"/>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340" w:type="dxa"/>
            <w:vAlign w:val="bottom"/>
            <w:tcBorders>
              <w:top w:val="single" w:sz="8" w:color="auto"/>
            </w:tcBorders>
          </w:tcPr>
          <w:p>
            <w:pPr>
              <w:jc w:val="right"/>
              <w:ind w:right="190"/>
              <w:spacing w:after="0" w:line="176" w:lineRule="exact"/>
              <w:rPr>
                <w:sz w:val="20"/>
                <w:szCs w:val="20"/>
                <w:color w:val="auto"/>
              </w:rPr>
            </w:pPr>
            <w:r>
              <w:rPr>
                <w:rFonts w:ascii="Arial" w:cs="Arial" w:eastAsia="Arial" w:hAnsi="Arial"/>
                <w:sz w:val="18"/>
                <w:szCs w:val="18"/>
                <w:color w:val="auto"/>
              </w:rPr>
              <w:t>001-32501</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rPr>
              <w:t>3/30/2021</w:t>
            </w: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dated October 4, 2018 by and between Reed’s Inc. and</w:t>
              </w:r>
            </w:hyperlink>
          </w:p>
        </w:tc>
        <w:tc>
          <w:tcPr>
            <w:tcW w:w="1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36">
              <w:r>
                <w:rPr>
                  <w:rFonts w:ascii="Arial" w:cs="Arial" w:eastAsia="Arial" w:hAnsi="Arial"/>
                  <w:sz w:val="18"/>
                  <w:szCs w:val="18"/>
                  <w:color w:val="0000EE"/>
                  <w:w w:val="90"/>
                </w:rPr>
                <w:t>Rosenthal &amp; Rosenthal, Inc.</w:t>
              </w:r>
            </w:hyperlink>
          </w:p>
        </w:tc>
        <w:tc>
          <w:tcPr>
            <w:tcW w:w="2580" w:type="dxa"/>
            <w:vAlign w:val="bottom"/>
            <w:gridSpan w:val="7"/>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5"/>
              </w:rPr>
              <w:t>31.1</w:t>
            </w:r>
          </w:p>
        </w:tc>
        <w:tc>
          <w:tcPr>
            <w:tcW w:w="22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Certification of Chief Executive Officer pursuant to Section</w:t>
              </w:r>
            </w:hyperlink>
          </w:p>
        </w:tc>
        <w:tc>
          <w:tcPr>
            <w:tcW w:w="1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302 of the Sarbanes-Oxley Act of 2002</w:t>
              </w:r>
            </w:hyperlink>
          </w:p>
        </w:tc>
        <w:tc>
          <w:tcPr>
            <w:tcW w:w="1780" w:type="dxa"/>
            <w:vAlign w:val="bottom"/>
            <w:gridSpan w:val="4"/>
          </w:tcPr>
          <w:p>
            <w:pPr>
              <w:spacing w:after="0"/>
              <w:rPr>
                <w:sz w:val="17"/>
                <w:szCs w:val="17"/>
                <w:color w:val="auto"/>
              </w:rPr>
            </w:pPr>
          </w:p>
        </w:tc>
        <w:tc>
          <w:tcPr>
            <w:tcW w:w="13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5"/>
              </w:rPr>
              <w:t>31.2</w:t>
            </w:r>
          </w:p>
        </w:tc>
        <w:tc>
          <w:tcPr>
            <w:tcW w:w="22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Certification of Chief Financial Officer pursuant to Section</w:t>
              </w:r>
            </w:hyperlink>
          </w:p>
        </w:tc>
        <w:tc>
          <w:tcPr>
            <w:tcW w:w="1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302 of the Sarbanes-Oxley Act of 2002</w:t>
              </w:r>
            </w:hyperlink>
          </w:p>
        </w:tc>
        <w:tc>
          <w:tcPr>
            <w:tcW w:w="1780" w:type="dxa"/>
            <w:vAlign w:val="bottom"/>
            <w:gridSpan w:val="4"/>
          </w:tcPr>
          <w:p>
            <w:pPr>
              <w:spacing w:after="0"/>
              <w:rPr>
                <w:sz w:val="17"/>
                <w:szCs w:val="17"/>
                <w:color w:val="auto"/>
              </w:rPr>
            </w:pPr>
          </w:p>
        </w:tc>
        <w:tc>
          <w:tcPr>
            <w:tcW w:w="13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5"/>
              </w:rPr>
              <w:t>32.1</w:t>
            </w:r>
          </w:p>
        </w:tc>
        <w:tc>
          <w:tcPr>
            <w:tcW w:w="22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of Chief Executive Officer pursuant to 18 U.S.C.</w:t>
              </w:r>
            </w:hyperlink>
          </w:p>
        </w:tc>
        <w:tc>
          <w:tcPr>
            <w:tcW w:w="1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Section 1350, as adopted pursuant to Section 906 of the</w:t>
              </w:r>
            </w:hyperlink>
          </w:p>
        </w:tc>
        <w:tc>
          <w:tcPr>
            <w:tcW w:w="1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Sarbanes-Oxley Act of 2002</w:t>
              </w:r>
            </w:hyperlink>
          </w:p>
        </w:tc>
        <w:tc>
          <w:tcPr>
            <w:tcW w:w="2540" w:type="dxa"/>
            <w:vAlign w:val="bottom"/>
            <w:gridSpan w:val="5"/>
          </w:tcPr>
          <w:p>
            <w:pPr>
              <w:spacing w:after="0"/>
              <w:rPr>
                <w:sz w:val="17"/>
                <w:szCs w:val="17"/>
                <w:color w:val="auto"/>
              </w:rPr>
            </w:pPr>
          </w:p>
        </w:tc>
        <w:tc>
          <w:tcPr>
            <w:tcW w:w="13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5"/>
              </w:rPr>
              <w:t>32.2</w:t>
            </w:r>
          </w:p>
        </w:tc>
        <w:tc>
          <w:tcPr>
            <w:tcW w:w="220" w:type="dxa"/>
            <w:vAlign w:val="bottom"/>
          </w:tcPr>
          <w:p>
            <w:pPr>
              <w:spacing w:after="0"/>
              <w:rPr>
                <w:sz w:val="17"/>
                <w:szCs w:val="17"/>
                <w:color w:val="auto"/>
              </w:rPr>
            </w:pPr>
          </w:p>
        </w:tc>
        <w:tc>
          <w:tcPr>
            <w:tcW w:w="4620" w:type="dxa"/>
            <w:vAlign w:val="bottom"/>
            <w:gridSpan w:val="8"/>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Certification of Chief Financial Officer pursuant to 18 U.S.C.</w:t>
              </w:r>
            </w:hyperlink>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Section 1350, as adopted pursuant to Section 906 of the</w:t>
              </w:r>
            </w:hyperlink>
          </w:p>
        </w:tc>
        <w:tc>
          <w:tcPr>
            <w:tcW w:w="1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Sarbanes-Oxley Act of 2002</w:t>
              </w:r>
            </w:hyperlink>
          </w:p>
        </w:tc>
        <w:tc>
          <w:tcPr>
            <w:tcW w:w="2560" w:type="dxa"/>
            <w:vAlign w:val="bottom"/>
            <w:gridSpan w:val="6"/>
          </w:tcPr>
          <w:p>
            <w:pPr>
              <w:spacing w:after="0"/>
              <w:rPr>
                <w:sz w:val="17"/>
                <w:szCs w:val="17"/>
                <w:color w:val="auto"/>
              </w:rPr>
            </w:pPr>
          </w:p>
        </w:tc>
        <w:tc>
          <w:tcPr>
            <w:tcW w:w="13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101.INS</w:t>
            </w:r>
          </w:p>
        </w:tc>
        <w:tc>
          <w:tcPr>
            <w:tcW w:w="46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101.SCH</w:t>
            </w:r>
          </w:p>
        </w:tc>
        <w:tc>
          <w:tcPr>
            <w:tcW w:w="46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101.CAL</w:t>
            </w:r>
          </w:p>
        </w:tc>
        <w:tc>
          <w:tcPr>
            <w:tcW w:w="4620" w:type="dxa"/>
            <w:vAlign w:val="bottom"/>
            <w:gridSpan w:val="8"/>
          </w:tcPr>
          <w:p>
            <w:pPr>
              <w:spacing w:after="0"/>
              <w:rPr>
                <w:sz w:val="20"/>
                <w:szCs w:val="20"/>
                <w:color w:val="auto"/>
              </w:rPr>
            </w:pPr>
            <w:r>
              <w:rPr>
                <w:rFonts w:ascii="Arial" w:cs="Arial" w:eastAsia="Arial" w:hAnsi="Arial"/>
                <w:sz w:val="18"/>
                <w:szCs w:val="18"/>
                <w:color w:val="auto"/>
                <w:w w:val="96"/>
              </w:rPr>
              <w:t>XBRL Taxonomy Extension Calculation Linkbase Document</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101.DEF</w:t>
            </w:r>
          </w:p>
        </w:tc>
        <w:tc>
          <w:tcPr>
            <w:tcW w:w="46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101.LAB</w:t>
            </w:r>
          </w:p>
        </w:tc>
        <w:tc>
          <w:tcPr>
            <w:tcW w:w="4620" w:type="dxa"/>
            <w:vAlign w:val="bottom"/>
            <w:gridSpan w:val="8"/>
          </w:tcPr>
          <w:p>
            <w:pPr>
              <w:spacing w:after="0"/>
              <w:rPr>
                <w:sz w:val="20"/>
                <w:szCs w:val="20"/>
                <w:color w:val="auto"/>
              </w:rPr>
            </w:pPr>
            <w:r>
              <w:rPr>
                <w:rFonts w:ascii="Arial" w:cs="Arial" w:eastAsia="Arial" w:hAnsi="Arial"/>
                <w:sz w:val="18"/>
                <w:szCs w:val="18"/>
                <w:color w:val="auto"/>
                <w:w w:val="93"/>
              </w:rPr>
              <w:t>XBRL Taxonomy Extension Presentation Linkbase Document</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101.PRE</w:t>
            </w:r>
          </w:p>
        </w:tc>
        <w:tc>
          <w:tcPr>
            <w:tcW w:w="46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 Release 33-8238, Exhibits 32.1 and 32.2 are being furnished and not filed.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Reed’s,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Norman E. Snyder, Jr.,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J. Spisak,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March 31, 2021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spacing w:after="0" w:line="18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40" w:right="540" w:hanging="5632"/>
        <w:spacing w:after="0" w:line="500"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line="2"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March 31, 2021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8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640" w:right="540" w:hanging="5632"/>
        <w:spacing w:after="0" w:line="500"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line="2"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36" Type="http://schemas.openxmlformats.org/officeDocument/2006/relationships/hyperlink" Target="https://www.sec.gov/Archives/edgar/data/1140215/000149315221007217/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2021-05-17T23:21:16Z</dcterms:created>
  <dcterms:modified xsi:type="dcterms:W3CDTF">2021-05-17T23:21:16Z</dcterms:modified>
</cp:coreProperties>
</file>