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512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12,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firstLine="36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512"/>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35-2177773</w:t>
            </w:r>
          </w:p>
        </w:tc>
      </w:tr>
      <w:tr>
        <w:trPr/>
        <w:tc>
          <w:tcPr>
            <w:tcW w:w="2360"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501 Merritt 7 PH</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Norwalk, </w:t>
            </w:r>
            <w:bookmarkStart w:id="10" w:name="xdx_90A_edei--EntityAddressStateOrProvin"/>
            <w:bookmarkEnd w:id="10"/>
            <w:r>
              <w:rPr>
                <w:rFonts w:ascii="Times New Roman;Times;Serif" w:hAnsi="Times New Roman;Times;Serif"/>
                <w:b/>
                <w:i w:val="false"/>
                <w:caps w:val="false"/>
                <w:smallCaps w:val="false"/>
                <w:sz w:val="20"/>
              </w:rPr>
              <w:t xml:space="preserve">Connecticut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4_edei--CityAreaCode_c20260512__20"/>
      <w:bookmarkEnd w:id="12"/>
      <w:r>
        <w:rPr>
          <w:rFonts w:ascii="Times New Roman;Times;Serif" w:hAnsi="Times New Roman;Times;Serif"/>
          <w:b/>
          <w:i w:val="false"/>
          <w:caps w:val="false"/>
          <w:smallCaps w:val="false"/>
          <w:sz w:val="20"/>
        </w:rPr>
        <w:t xml:space="preserve">(800) </w:t>
      </w:r>
      <w:bookmarkStart w:id="13" w:name="xdx_908_edei--LocalPhoneNumber_c20260512"/>
      <w:bookmarkEnd w:id="13"/>
      <w:r>
        <w:rPr>
          <w:rFonts w:ascii="Times New Roman;Times;Serif" w:hAnsi="Times New Roman;Times;Serif"/>
          <w:b/>
          <w:i w:val="false"/>
          <w:caps w:val="false"/>
          <w:smallCaps w:val="false"/>
          <w:sz w:val="20"/>
        </w:rPr>
        <w:t>997-3337</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7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605"/>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512"/>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512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Item 2.02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Reed’s, Inc., a Delaware corporation (the “Company”), issued a press release announcing financial results for the quarter ended March 31, 2026. The full text of the press release is attached as Exhibit 99.1 to this Current Report on Form 8-K and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Company under the Securities Act of 1933, as amended, or the Exchange Act, except as shall be expressly set forth by specific reference in such a filing.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May 12,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rPr>
      </w:pPr>
      <w:r>
        <w:rPr>
          <w:caps/>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655"/>
        <w:gridCol w:w="320"/>
        <w:gridCol w:w="203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12,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304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Reports First Quarter 2026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Team to Host Conference Call Tomorrow at 8:30 a.m. ET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Norwalk, CT, (May 12, 2026) – </w:t>
      </w:r>
      <w:r>
        <w:rPr>
          <w:rFonts w:ascii="Times New Roman;Times;Serif" w:hAnsi="Times New Roman;Times;Serif"/>
          <w:b w:val="false"/>
          <w:i w:val="false"/>
          <w:caps w:val="false"/>
          <w:smallCaps w:val="false"/>
          <w:sz w:val="20"/>
        </w:rPr>
        <w:t>Reed’s, Inc. (NYSE American: REED) (“Reed’s” or the “Company”), owner of the nation’s leading portfolio of handcrafted, natural ginger beverages, today announced financial results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Financial Highlights (vs. Q1 2025):</w:t>
      </w:r>
    </w:p>
    <w:p>
      <w:pPr>
        <w:pStyle w:val="TextBody"/>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$7.1 million compared to $10.0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$0.7 million compared to $3.4 million, with gross margin of 10% compared to 34%.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costs were $2.57 per case compared to $3.17 per case.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$5.8 million compared to $3.5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$6.5 million compared to $2.0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$(6.2) million compared to $(1.7)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Cohane, Reed’s interim CEO stated, “We believe Reed’s operating performance in Q1 should not be viewed as indicative of our expected performance for the balance of the year. Several factors contributed to the quarter’s results, many of which we believe are transitional and are already being addressed through corrective actions initiated early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factors impacting Q1 2026 performance included inventory rationalization activities associated with discontinued, underperforming, and aged SKUs, elevated SG&amp;A expenses related to prior commercial growth initiatives, softer sales execution across certain retail channels, and gross margin pressure driven by higher input and wholesale costs. Sales performance during the quarter was also impacted by transitions within portions of the Company’s packaging portfolio, certain can format changes, lower promotional trade activity, and reduced shelf placements for select Reed’s and Virgil’s SKUs at key retail accounts. In addition, inconsistent engagement across portions of the Company’s distributor and retail network contributed to weaker commercial execution during the quarter.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EBITDA is a non-GAAP financial measure. Definition of the non-GAAP measure used by Reed’s and a reconciliation of such measure to the related GAAP financial measure can be found under the sections below titled “Non-GAAP Financial Measures” and “Reconciliation of GAAP Financial Measure to Non-GAAP Financial Measure.”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early in Q1 2026, Reed’s management initiated a series of corrective actions intended to stabilize the business, improve execution, and position the Company for profitable growth: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engagement with key retail and distribution partners to strengthen customer relationships, support expanded SKU placements, and increase promotional activity across key accounts.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inventory management processes and controls while continuing efforts to optimize the Company’s product portfolio and working capital position through the rationalization of low-margin and underperforming inventory.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previously planned discontinuation efforts involving certain Reed’s and Virgil’s heritage glass bottle products and Virgil’s ZERO sugar offerings following retailer and consumer feedback.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retail media and e-commerce initiatives across key e-commerce platforms such as Instacart, Walmart.com, Albertsons.com and Kroger.com, among others.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Restructured Amazon fulfillment operations by exiting certain warehouse agreements and partnering with a leading Amazon marketplace operator to improve profitability and operating efficiency.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targeted reductions in headcount and marketing-related SG&amp;A expenses and postponed certain planned brand restage initiatives as part of broader cost optimization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national sales capabilities through a new agency partnership with one of the nation’s largest commission-based sales agencies designed to increase retail coverage and improve in-market execution across key channels. This partnership immediately expanded Reed’s retail coverage and field presence with more than 80 sales professionals.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a comprehensive review of product-level profitability, pricing architecture, and supply chain initiatives intended to improve gross margins, operating efficiency, and working capital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Appointed Damian Warshall as Chief Operating Officer to support the execution of these operational and commercial initiatives. Damian has a history with Reed’s and the Company believes his operational experience positions him well to lead this next phase of operational and commercial execution.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Cohane added, “As interim CEO, my immediate priority is to strengthen the business, improve execution, and reinforce confidence across all aspects of the organization. While our first quarter results were below our expectations, we have moved quickly and decisively to address key operational and commercial areas of focus, strengthen customer and distributor relationships, streamline our cost structure, and increase focus on profitability. We believe Reed’s and Virgil’s remain highly recognizable brands with strong consumer awareness and significant untapped potential in both retail and e-commerce channels. We believe the actions taken over the past several months are laying the foundation for improved execution, stronger margins, and renewed topline momentum as we move through 2026. Although there is still substantial work ahead, I am encouraged by the early progress we are seeing across the business and believe these efforts will help reposition Reed’s for long-term sustainable growth and shareholder value creation.”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net sales were $7.1 million, compared to $10.0 million in the prior year period. The decrease was primarily driven by lower volumes with recurring national customers and higher promotional and other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quarter of 2026 was $0.7 million, compared to $3.4 million in the prior year period. Gross margin was 10% compared to 34% in the prior year period. The decrease in gross margin was primarily driven by liquidation of select slow-moving product and inventory write-offs related to changes in product portfolio optimization.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costs decreased by 31% to $1.1 million during the first quarter of 2026 compared to $1.6 million in the first quarter of 2025, primarily driven by continued improvements in logistics efficiency and freight optimization. Delivery and handling costs were 16% of net sales, or $2.57 per case, compared to 16% of net sales, or $3.17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$5.8 million, compared to $3.5 million in the prior year period. The increase was primarily driven by investments in personnel, marketing and related services to support the Company’s Asia growth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during the first quarter of 2026 was $6.5 million, or $(0.55) per share, compared to a net loss of $2.0 million, or $(0.27) per share,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$(6.2) million in the first quarter of 2026 compared to $(1.7) million in the year-ago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cash used in operations was $5.8 million compared to cash used of $5.4 million in the year-ago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approximately $4.6 million of cash and $9.2 million of total debt net of deferred financing fees. This compares to $10.4 million of cash and $9.2 million of total debt net of deferred financing fees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conduct a conference call tomorrow, May 13, 2026, at 8:30 a.m. Eastern time to discuss its results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leadership team will host the conference call, followed by a question-and-answer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Wednesday, May 13,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8:30 a.m. Eastern time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Toll-free dial-in number: (800) 717-1738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dial-in number: (646) 307-1865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 88557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val="false"/>
          <w:caps w:val="false"/>
          <w:smallCaps w:val="false"/>
          <w:sz w:val="20"/>
          <w:u w:val="single"/>
        </w:rPr>
        <w:t>Reed’s Q1 2026 Conference Call</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dial into the conference call 5-10 minutes prior to the start time. An operator will register your name and organization. If you have any difficulty connecting with the conference call, please contact the company’s investor relations team at (720) 330-2829.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conference call will also be broadcast live and available for replay on the investor relations section of the Company’s website at </w:t>
      </w:r>
      <w:r>
        <w:rPr>
          <w:rFonts w:ascii="Times New Roman;Times;Serif" w:hAnsi="Times New Roman;Times;Serif"/>
          <w:b w:val="false"/>
          <w:i w:val="false"/>
          <w:caps w:val="false"/>
          <w:smallCaps w:val="false"/>
          <w:sz w:val="20"/>
          <w:u w:val="single"/>
        </w:rPr>
        <w:t>https://investor.reedsinc.com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an innovative company and category leader that provides the world with high quality, premium and better-for-you sodas. Established in 1989, Reed’s is a leader in craft beverages under the Reed’s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Virgil’s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Flying Cauldron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names. The Company’s beverages are now sold in over 32,000 stores nationwide.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Statements that are not historical are forward-looking statements. These forward- looking statements may be identified by terms such as “believe,” “expect,” “intends,” “outlook,” “may,” “will” and similar expressions. Forward-looking statements include, but are not limited to, statements herein with respect to implied or express statements regarding the Company’s expectations relating to its business strategy, growth initiatives, operational improvements, and the impact of recent leadership changes, including the Company’s belief that its first quarter results are not indicative of future performance and that its corrective efforts will help reposition the Company for long-term sustainable growth and shareholder value creation.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materially impact our ability to access raw materials, production, transportation and/or other logistics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such risks or uncertainties materialize or if any of the assumptions prove incorrect, Reed’s actual results could differ materially from the results expressed or implied by the forward-looking statements we make. The risks and uncertainties referred to above include, but are not limited to: inventory shortages; risks associated with new product releases; the impacts of further inflation; risks that customer demand may fluctuate or decrease; risks that we are unable to collect unbilled contractual commitments, particularly in the current economic environment; our ability to compete successfully and manage growth; our ability to attract and retain qualified management and personnel; our ability to develop and expand strategic and third party distribution channels; our dependence on third party suppliers, brewers and distributors; third party co-packers meeting contractual commitments; risks related to our business expansion and international operations; our ability to continue to innovate; our strategy of making investments in sales to drive growth; increasing costs of fuel and freight; protection of intellectual property; competition; general political or destabilizing events; general economic conditions; the effect of evolving domestic and foreign government regulations; and other risks detailed from time to time in Reed’s public filings, including Reed’s annual report on Form 10-K filed on March 25, 2026, which will be available on the Securities and Exchange Commission’s web site </w:t>
      </w:r>
      <w:r>
        <w:rPr>
          <w:rFonts w:ascii="Times New Roman;Times;Serif" w:hAnsi="Times New Roman;Times;Serif"/>
          <w:b w:val="false"/>
          <w:i w:val="false"/>
          <w:caps w:val="false"/>
          <w:smallCaps w:val="false"/>
          <w:sz w:val="20"/>
          <w:u w:val="single"/>
        </w:rPr>
        <w:t>at 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Reed’s assumes no obligation and does not intend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Mansouri, CFA or Aaron D’Souza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Elevate IR</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ir@reedsinc.com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330-2829</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410"/>
        <w:gridCol w:w="60"/>
        <w:gridCol w:w="140"/>
        <w:gridCol w:w="1100"/>
        <w:gridCol w:w="95"/>
        <w:gridCol w:w="60"/>
        <w:gridCol w:w="140"/>
        <w:gridCol w:w="980"/>
        <w:gridCol w:w="110"/>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10,029</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6,526</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Cost of discontinued inventory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6,627</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3,402</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1,627</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1,502</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2,015</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5,144</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(1,742</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(289</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(6,464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(2,031</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(0.27</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11,820,429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7,561,875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4"/>
        <w:gridCol w:w="60"/>
        <w:gridCol w:w="153"/>
        <w:gridCol w:w="967"/>
        <w:gridCol w:w="95"/>
        <w:gridCol w:w="60"/>
        <w:gridCol w:w="173"/>
        <w:gridCol w:w="1089"/>
        <w:gridCol w:w="114"/>
      </w:tblGrid>
      <w:tr>
        <w:trPr/>
        <w:tc>
          <w:tcPr>
            <w:tcW w:w="74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4" w:type="dxa"/>
            <w:tcBorders/>
            <w:vAlign w:val="center"/>
          </w:tcPr>
          <w:p>
            <w:pPr>
              <w:pStyle w:val="TableContents"/>
              <w:bidi w:val="0"/>
              <w:spacing w:before="0" w:after="283"/>
              <w:jc w:val="left"/>
              <w:rPr/>
            </w:pPr>
            <w:r>
              <w:rPr/>
              <w:t> </w:t>
            </w:r>
          </w:p>
        </w:tc>
      </w:tr>
      <w:tr>
        <w:trPr/>
        <w:tc>
          <w:tcPr>
            <w:tcW w:w="74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4,580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10,424</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Accounts receivable, net of allowance of $982 and $980, respectively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2,317</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8,048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8,046</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673</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i/>
              </w:rPr>
            </w:pPr>
            <w:r>
              <w:rPr>
                <w:i/>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21,460</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Property and equipment, net of accumulated depreciation of $827 and $785,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1,231</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18,686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5,062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3,496</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669</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Senior secured loan, net of deferred financing costs of $45 and $68, respectively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9,205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9,182</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i/>
              </w:rPr>
            </w:pPr>
            <w:r>
              <w:rPr>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13,387</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14,190</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Series A Convertible Preferred stock, $10 par value, 500,000 shares authorized, 9,411 shares issued and outstanding</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94</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Common stock, $.0001 par value, 60,000,000 shares authorized; 11,820,429 and 11,820,429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w:t>
            </w:r>
          </w:p>
        </w:tc>
        <w:tc>
          <w:tcPr>
            <w:tcW w:w="114" w:type="dxa"/>
            <w:tcBorders/>
            <w:shd w:fill="CCEEFF" w:val="clear"/>
            <w:vAlign w:val="center"/>
          </w:tcPr>
          <w:p>
            <w:pPr>
              <w:pStyle w:val="TableContents"/>
              <w:bidi w:val="0"/>
              <w:spacing w:before="0" w:after="283"/>
              <w:jc w:val="left"/>
              <w:rPr/>
            </w:pPr>
            <w:r>
              <w:rPr/>
              <w:t> </w:t>
            </w:r>
          </w:p>
        </w:tc>
      </w:tr>
      <w:tr>
        <w:trPr/>
        <w:tc>
          <w:tcPr>
            <w:tcW w:w="7494"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176,788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176,783</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(174,195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(167,731</w:t>
            </w:r>
          </w:p>
        </w:tc>
        <w:tc>
          <w:tcPr>
            <w:tcW w:w="114" w:type="dxa"/>
            <w:tcBorders/>
            <w:shd w:fill="CCEEFF" w:val="clear"/>
            <w:vAlign w:val="center"/>
          </w:tcPr>
          <w:p>
            <w:pPr>
              <w:pStyle w:val="TableContents"/>
              <w:bidi w:val="0"/>
              <w:spacing w:before="0" w:after="283"/>
              <w:jc w:val="left"/>
              <w:rPr/>
            </w:pPr>
            <w:r>
              <w:rPr/>
              <w:t>)</w:t>
            </w:r>
          </w:p>
        </w:tc>
      </w:tr>
      <w:tr>
        <w:trPr/>
        <w:tc>
          <w:tcPr>
            <w:tcW w:w="7494"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9,151</w:t>
            </w:r>
          </w:p>
        </w:tc>
        <w:tc>
          <w:tcPr>
            <w:tcW w:w="114" w:type="dxa"/>
            <w:tcBorders/>
            <w:shd w:fill="FFFFFF" w:val="clear"/>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18,686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tbl>
      <w:tblPr>
        <w:tblW w:w="9338" w:type="dxa"/>
        <w:jc w:val="left"/>
        <w:tblInd w:w="0" w:type="dxa"/>
        <w:tblLayout w:type="fixed"/>
        <w:tblCellMar>
          <w:top w:w="0" w:type="dxa"/>
          <w:left w:w="0" w:type="dxa"/>
          <w:bottom w:w="0" w:type="dxa"/>
          <w:right w:w="0" w:type="dxa"/>
        </w:tblCellMar>
      </w:tblPr>
      <w:tblGrid>
        <w:gridCol w:w="6875"/>
        <w:gridCol w:w="60"/>
        <w:gridCol w:w="182"/>
        <w:gridCol w:w="887"/>
        <w:gridCol w:w="95"/>
        <w:gridCol w:w="60"/>
        <w:gridCol w:w="182"/>
        <w:gridCol w:w="887"/>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(6,464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(2,031</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Allowance for estimated credit losses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980</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Discontinued 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i/>
              </w:rPr>
            </w:pPr>
            <w:r>
              <w:rPr>
                <w:i/>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(1,330</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(4,320</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Decrease in right of use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989</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330</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(5,362</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i/>
              </w:rPr>
            </w:pPr>
            <w:r>
              <w:rPr>
                <w:i/>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Trademark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Payment of cost recorded as debt discount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(5,529</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10,424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10,391</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4,862</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199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FINANCIAL MEASURE TO NON-GAAP FINANCIAL MEASURE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jc w:val="center"/>
        <w:rPr>
          <w:caps w:val="false"/>
          <w:smallCaps w:val="false"/>
        </w:rPr>
      </w:pPr>
      <w:r>
        <w:rPr>
          <w:caps w:val="false"/>
          <w:smallCaps w:val="false"/>
        </w:rPr>
        <w:t> </w:t>
      </w:r>
    </w:p>
    <w:tbl>
      <w:tblPr>
        <w:tblW w:w="4840" w:type="dxa"/>
        <w:jc w:val="center"/>
        <w:tblInd w:w="0" w:type="dxa"/>
        <w:tblLayout w:type="fixed"/>
        <w:tblCellMar>
          <w:top w:w="0" w:type="dxa"/>
          <w:left w:w="0" w:type="dxa"/>
          <w:bottom w:w="0" w:type="dxa"/>
          <w:right w:w="0" w:type="dxa"/>
        </w:tblCellMar>
      </w:tblPr>
      <w:tblGrid>
        <w:gridCol w:w="2885"/>
        <w:gridCol w:w="60"/>
        <w:gridCol w:w="146"/>
        <w:gridCol w:w="666"/>
        <w:gridCol w:w="99"/>
        <w:gridCol w:w="62"/>
        <w:gridCol w:w="146"/>
        <w:gridCol w:w="666"/>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(6,464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(2,031</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 adjustments: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204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289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53</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Total EBITDA adjustments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246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(6,218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(1,689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3298</Words>
  <Characters>18550</Characters>
  <CharactersWithSpaces>22186</CharactersWithSpaces>
  <Paragraphs>1245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